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B1DD15" w14:textId="58BFCD28" w:rsidR="00977C0F" w:rsidRDefault="00977C0F" w:rsidP="00977C0F">
      <w:pPr>
        <w:pStyle w:val="Body"/>
        <w:spacing w:line="276" w:lineRule="auto"/>
        <w:jc w:val="center"/>
        <w:rPr>
          <w:rFonts w:asciiTheme="minorHAnsi" w:hAnsiTheme="minorHAnsi"/>
          <w:sz w:val="48"/>
          <w:szCs w:val="48"/>
        </w:rPr>
      </w:pPr>
      <w:bookmarkStart w:id="0" w:name="_Toc455740718"/>
      <w:bookmarkStart w:id="1" w:name="_Toc455740914"/>
      <w:r>
        <w:rPr>
          <w:rFonts w:asciiTheme="minorHAnsi" w:hAnsiTheme="minorHAnsi"/>
          <w:sz w:val="44"/>
          <w:szCs w:val="44"/>
        </w:rPr>
        <w:t>Proposal</w:t>
      </w:r>
      <w:r w:rsidR="005B0F29">
        <w:rPr>
          <w:rFonts w:asciiTheme="minorHAnsi" w:hAnsiTheme="minorHAnsi"/>
          <w:sz w:val="44"/>
          <w:szCs w:val="44"/>
        </w:rPr>
        <w:t xml:space="preserve"> for a</w:t>
      </w:r>
      <w:bookmarkStart w:id="2" w:name="_GoBack"/>
      <w:bookmarkEnd w:id="2"/>
    </w:p>
    <w:p w14:paraId="1D7B264E" w14:textId="77777777" w:rsidR="00977C0F" w:rsidRDefault="00977C0F" w:rsidP="00977C0F">
      <w:pPr>
        <w:pStyle w:val="Body"/>
        <w:spacing w:line="276" w:lineRule="auto"/>
        <w:jc w:val="center"/>
        <w:rPr>
          <w:rFonts w:asciiTheme="minorHAnsi" w:hAnsiTheme="minorHAnsi"/>
          <w:sz w:val="44"/>
          <w:szCs w:val="44"/>
        </w:rPr>
      </w:pPr>
      <w:r>
        <w:rPr>
          <w:rFonts w:asciiTheme="minorHAnsi" w:hAnsiTheme="minorHAnsi"/>
          <w:sz w:val="44"/>
          <w:szCs w:val="44"/>
        </w:rPr>
        <w:t xml:space="preserve">Livestock </w:t>
      </w:r>
      <w:proofErr w:type="spellStart"/>
      <w:r>
        <w:rPr>
          <w:rFonts w:asciiTheme="minorHAnsi" w:hAnsiTheme="minorHAnsi"/>
          <w:sz w:val="44"/>
          <w:szCs w:val="44"/>
        </w:rPr>
        <w:t>Agri</w:t>
      </w:r>
      <w:proofErr w:type="spellEnd"/>
      <w:r>
        <w:rPr>
          <w:rFonts w:asciiTheme="minorHAnsi" w:hAnsiTheme="minorHAnsi"/>
          <w:sz w:val="44"/>
          <w:szCs w:val="44"/>
        </w:rPr>
        <w:t>-Food Systems CGIAR Research Program</w:t>
      </w:r>
    </w:p>
    <w:p w14:paraId="3E8A3FD6" w14:textId="77777777" w:rsidR="005B0F29" w:rsidRDefault="005B0F29" w:rsidP="00977C0F">
      <w:pPr>
        <w:pStyle w:val="Body"/>
        <w:spacing w:line="276" w:lineRule="auto"/>
        <w:jc w:val="center"/>
        <w:rPr>
          <w:rFonts w:asciiTheme="minorHAnsi" w:hAnsiTheme="minorHAnsi"/>
          <w:sz w:val="44"/>
          <w:szCs w:val="44"/>
        </w:rPr>
      </w:pPr>
    </w:p>
    <w:p w14:paraId="1879303E" w14:textId="631C5451" w:rsidR="00977C0F" w:rsidRDefault="00977C0F" w:rsidP="00977C0F">
      <w:pPr>
        <w:pStyle w:val="Body"/>
        <w:spacing w:line="276" w:lineRule="auto"/>
        <w:jc w:val="center"/>
        <w:rPr>
          <w:rFonts w:asciiTheme="minorHAnsi" w:hAnsiTheme="minorHAnsi"/>
          <w:sz w:val="44"/>
          <w:szCs w:val="44"/>
        </w:rPr>
      </w:pPr>
      <w:r>
        <w:rPr>
          <w:rFonts w:asciiTheme="minorHAnsi" w:hAnsiTheme="minorHAnsi"/>
          <w:sz w:val="44"/>
          <w:szCs w:val="44"/>
        </w:rPr>
        <w:t>ADDENDUM WITH RESPONSES TO THE ISPC COMMENTARY</w:t>
      </w:r>
    </w:p>
    <w:p w14:paraId="7C3C6CF2" w14:textId="77777777" w:rsidR="00977C0F" w:rsidRDefault="00977C0F" w:rsidP="00977C0F">
      <w:pPr>
        <w:pStyle w:val="Body"/>
        <w:spacing w:line="240" w:lineRule="auto"/>
        <w:jc w:val="center"/>
        <w:rPr>
          <w:sz w:val="21"/>
        </w:rPr>
      </w:pPr>
    </w:p>
    <w:p w14:paraId="41205588" w14:textId="12C6BBC6" w:rsidR="00977C0F" w:rsidRDefault="00C5349F" w:rsidP="00977C0F">
      <w:pPr>
        <w:jc w:val="center"/>
      </w:pPr>
      <w:r>
        <w:t>21</w:t>
      </w:r>
      <w:r w:rsidR="00977C0F">
        <w:t xml:space="preserve"> July 2016</w:t>
      </w:r>
    </w:p>
    <w:bookmarkEnd w:id="0"/>
    <w:bookmarkEnd w:id="1"/>
    <w:p w14:paraId="50DB84DC" w14:textId="77777777" w:rsidR="00977C0F" w:rsidRDefault="00977C0F" w:rsidP="00593E31"/>
    <w:p w14:paraId="0D94DAE1" w14:textId="51122AC5" w:rsidR="00612D51" w:rsidRDefault="0098632B" w:rsidP="00593E31">
      <w:r>
        <w:t xml:space="preserve">In </w:t>
      </w:r>
      <w:r w:rsidR="00B356A6">
        <w:t>mid-June</w:t>
      </w:r>
      <w:r w:rsidR="00612D51">
        <w:t xml:space="preserve">, the ISPC </w:t>
      </w:r>
      <w:r w:rsidR="00FC7DC0">
        <w:t xml:space="preserve">provided </w:t>
      </w:r>
      <w:r w:rsidR="00612D51">
        <w:t>its commentar</w:t>
      </w:r>
      <w:r w:rsidR="00FC7DC0">
        <w:t>ies on all CRP and platform proposals, including t</w:t>
      </w:r>
      <w:r w:rsidR="00612D51">
        <w:t>he Livestock CRP proposal. This document contains responses to:</w:t>
      </w:r>
    </w:p>
    <w:p w14:paraId="60527F2A" w14:textId="163379F8" w:rsidR="00612D51" w:rsidRDefault="00612D51" w:rsidP="00612D51">
      <w:pPr>
        <w:pStyle w:val="ListParagraph"/>
        <w:numPr>
          <w:ilvl w:val="0"/>
          <w:numId w:val="26"/>
        </w:numPr>
      </w:pPr>
      <w:r>
        <w:t>Five major bullet points</w:t>
      </w:r>
      <w:r w:rsidR="004A2BE5">
        <w:t xml:space="preserve"> (and any other comments in bold)</w:t>
      </w:r>
      <w:r>
        <w:t xml:space="preserve"> that MUST</w:t>
      </w:r>
      <w:r w:rsidR="00FC7DC0">
        <w:t xml:space="preserve"> be addressed</w:t>
      </w:r>
      <w:r w:rsidR="00666E32">
        <w:t xml:space="preserve"> (Table 1)</w:t>
      </w:r>
    </w:p>
    <w:p w14:paraId="57E3ABEC" w14:textId="40FF9DE2" w:rsidR="00FC7DC0" w:rsidRPr="00743A83" w:rsidRDefault="00612D51" w:rsidP="00666E32">
      <w:pPr>
        <w:pStyle w:val="ListParagraph"/>
        <w:numPr>
          <w:ilvl w:val="0"/>
          <w:numId w:val="26"/>
        </w:numPr>
      </w:pPr>
      <w:r w:rsidRPr="00743A83">
        <w:t xml:space="preserve">Several other comments and suggestions </w:t>
      </w:r>
      <w:r w:rsidR="00666E32" w:rsidRPr="00743A83">
        <w:t>(Table 2).</w:t>
      </w:r>
      <w:r w:rsidR="00FC7DC0" w:rsidRPr="00743A83">
        <w:t xml:space="preserve"> </w:t>
      </w:r>
      <w:r w:rsidR="00666E32" w:rsidRPr="00743A83">
        <w:t xml:space="preserve">These </w:t>
      </w:r>
      <w:r w:rsidR="00FC7DC0" w:rsidRPr="00743A83">
        <w:t>includ</w:t>
      </w:r>
      <w:r w:rsidR="00666E32" w:rsidRPr="00743A83">
        <w:t>e:</w:t>
      </w:r>
      <w:r w:rsidR="00FC7DC0" w:rsidRPr="00743A83">
        <w:t xml:space="preserve"> </w:t>
      </w:r>
    </w:p>
    <w:p w14:paraId="73142CFA" w14:textId="705C7849" w:rsidR="00FC7DC0" w:rsidRPr="00743A83" w:rsidRDefault="00FC7DC0" w:rsidP="00B356A6">
      <w:pPr>
        <w:pStyle w:val="ListParagraph"/>
        <w:numPr>
          <w:ilvl w:val="1"/>
          <w:numId w:val="26"/>
        </w:numPr>
      </w:pPr>
      <w:r w:rsidRPr="00743A83">
        <w:t xml:space="preserve">One </w:t>
      </w:r>
      <w:r w:rsidR="004A2BE5" w:rsidRPr="00743A83">
        <w:t xml:space="preserve">overall </w:t>
      </w:r>
      <w:r w:rsidRPr="00743A83">
        <w:t>point about the CRP’s smallholder focus</w:t>
      </w:r>
    </w:p>
    <w:p w14:paraId="6DC5D689" w14:textId="5C18BF1D" w:rsidR="00FC7DC0" w:rsidRPr="00743A83" w:rsidRDefault="00FC7DC0" w:rsidP="00B356A6">
      <w:pPr>
        <w:pStyle w:val="ListParagraph"/>
        <w:numPr>
          <w:ilvl w:val="1"/>
          <w:numId w:val="26"/>
        </w:numPr>
      </w:pPr>
      <w:r w:rsidRPr="00743A83">
        <w:t>Several suggestions for each of the flagships</w:t>
      </w:r>
    </w:p>
    <w:p w14:paraId="22AD9457" w14:textId="04212892" w:rsidR="00EA236A" w:rsidRPr="00743A83" w:rsidRDefault="00EA236A" w:rsidP="00B356A6">
      <w:pPr>
        <w:pStyle w:val="ListParagraph"/>
        <w:numPr>
          <w:ilvl w:val="1"/>
          <w:numId w:val="26"/>
        </w:numPr>
      </w:pPr>
      <w:r w:rsidRPr="00743A83">
        <w:t>Information on CRP director</w:t>
      </w:r>
    </w:p>
    <w:p w14:paraId="78209E86" w14:textId="2869F678" w:rsidR="00EA236A" w:rsidRDefault="00EA236A" w:rsidP="00B356A6">
      <w:pPr>
        <w:pStyle w:val="ListParagraph"/>
        <w:numPr>
          <w:ilvl w:val="1"/>
          <w:numId w:val="26"/>
        </w:numPr>
      </w:pPr>
      <w:r w:rsidRPr="00743A83">
        <w:t>Management budget information</w:t>
      </w:r>
    </w:p>
    <w:p w14:paraId="1C5A0B31" w14:textId="0E000896" w:rsidR="0040502B" w:rsidRPr="00743A83" w:rsidRDefault="0040502B" w:rsidP="0040502B">
      <w:pPr>
        <w:pStyle w:val="ListParagraph"/>
        <w:numPr>
          <w:ilvl w:val="0"/>
          <w:numId w:val="26"/>
        </w:numPr>
      </w:pPr>
      <w:r>
        <w:t>Comments on intellectual assets and open access sections of the proposal (Table 3)</w:t>
      </w:r>
    </w:p>
    <w:p w14:paraId="7B3D813C" w14:textId="4E5E9EAB" w:rsidR="00C727A9" w:rsidRPr="00EA236A" w:rsidRDefault="00612D51" w:rsidP="00C727A9">
      <w:pPr>
        <w:rPr>
          <w:strike/>
        </w:rPr>
      </w:pPr>
      <w:r>
        <w:t xml:space="preserve">The tables contain 1) </w:t>
      </w:r>
      <w:r w:rsidR="00FC7DC0">
        <w:t xml:space="preserve">extracts from </w:t>
      </w:r>
      <w:r>
        <w:t xml:space="preserve">the </w:t>
      </w:r>
      <w:r w:rsidR="00B356A6">
        <w:t xml:space="preserve">ISPC </w:t>
      </w:r>
      <w:r>
        <w:t>commentary</w:t>
      </w:r>
      <w:r w:rsidR="00FC7DC0">
        <w:t>,</w:t>
      </w:r>
      <w:r>
        <w:t xml:space="preserve"> 2) </w:t>
      </w:r>
      <w:r w:rsidR="00B356A6">
        <w:t>the</w:t>
      </w:r>
      <w:r>
        <w:t xml:space="preserve"> proposed response and 3) </w:t>
      </w:r>
      <w:r w:rsidR="00B356A6">
        <w:t>an</w:t>
      </w:r>
      <w:r>
        <w:t xml:space="preserve"> indication of any changes that will be made in the formal proposal narrative or annexes</w:t>
      </w:r>
      <w:r w:rsidR="00743A83">
        <w:t>.</w:t>
      </w:r>
    </w:p>
    <w:p w14:paraId="6D98ECCE" w14:textId="77777777" w:rsidR="00B356A6" w:rsidRDefault="00FC7DC0">
      <w:pPr>
        <w:sectPr w:rsidR="00B356A6" w:rsidSect="00B356A6">
          <w:footerReference w:type="default" r:id="rId8"/>
          <w:pgSz w:w="11906" w:h="16838"/>
          <w:pgMar w:top="1440" w:right="1440" w:bottom="1440" w:left="1440" w:header="709" w:footer="709" w:gutter="0"/>
          <w:cols w:space="708"/>
          <w:docGrid w:linePitch="360"/>
        </w:sectPr>
      </w:pPr>
      <w:r>
        <w:br w:type="page"/>
      </w:r>
    </w:p>
    <w:p w14:paraId="4828D30F" w14:textId="033228FC" w:rsidR="003E7199" w:rsidRPr="00B356A6" w:rsidRDefault="003E7199" w:rsidP="00490130">
      <w:pPr>
        <w:pStyle w:val="Heading2"/>
        <w:rPr>
          <w:b/>
        </w:rPr>
      </w:pPr>
      <w:bookmarkStart w:id="3" w:name="_Toc455740916"/>
      <w:r w:rsidRPr="00B356A6">
        <w:rPr>
          <w:b/>
        </w:rPr>
        <w:lastRenderedPageBreak/>
        <w:t>Table 1.  Responses and narrative changes: main bullet point</w:t>
      </w:r>
      <w:r w:rsidR="00FA53C7">
        <w:rPr>
          <w:b/>
        </w:rPr>
        <w:t>s</w:t>
      </w:r>
      <w:r w:rsidRPr="00B356A6">
        <w:rPr>
          <w:b/>
        </w:rPr>
        <w:t xml:space="preserve"> ‘must haves’.</w:t>
      </w:r>
    </w:p>
    <w:p w14:paraId="041CE4F9" w14:textId="77777777" w:rsidR="003E7199" w:rsidRPr="003E7199" w:rsidRDefault="003E7199" w:rsidP="00B356A6"/>
    <w:tbl>
      <w:tblPr>
        <w:tblStyle w:val="TableGrid"/>
        <w:tblW w:w="5000" w:type="pct"/>
        <w:tblLayout w:type="fixed"/>
        <w:tblLook w:val="04A0" w:firstRow="1" w:lastRow="0" w:firstColumn="1" w:lastColumn="0" w:noHBand="0" w:noVBand="1"/>
      </w:tblPr>
      <w:tblGrid>
        <w:gridCol w:w="2887"/>
        <w:gridCol w:w="28"/>
        <w:gridCol w:w="56"/>
        <w:gridCol w:w="8185"/>
        <w:gridCol w:w="2792"/>
      </w:tblGrid>
      <w:tr w:rsidR="00997C4A" w:rsidRPr="00514A00" w14:paraId="0B1C1CFE" w14:textId="77777777" w:rsidTr="000674F5">
        <w:tc>
          <w:tcPr>
            <w:tcW w:w="1035" w:type="pct"/>
            <w:shd w:val="clear" w:color="auto" w:fill="1F4E79" w:themeFill="accent1" w:themeFillShade="80"/>
          </w:tcPr>
          <w:p w14:paraId="6DB37D9A" w14:textId="77777777" w:rsidR="00997C4A" w:rsidRPr="00514A00" w:rsidRDefault="00997C4A" w:rsidP="00103209">
            <w:pPr>
              <w:rPr>
                <w:b/>
                <w:color w:val="FFFFFF" w:themeColor="background1"/>
                <w:sz w:val="18"/>
                <w:szCs w:val="18"/>
              </w:rPr>
            </w:pPr>
            <w:r w:rsidRPr="00514A00">
              <w:rPr>
                <w:b/>
                <w:color w:val="FFFFFF" w:themeColor="background1"/>
                <w:sz w:val="18"/>
                <w:szCs w:val="18"/>
              </w:rPr>
              <w:t>ISPC Comments</w:t>
            </w:r>
          </w:p>
        </w:tc>
        <w:tc>
          <w:tcPr>
            <w:tcW w:w="2964" w:type="pct"/>
            <w:gridSpan w:val="3"/>
            <w:shd w:val="clear" w:color="auto" w:fill="1F4E79" w:themeFill="accent1" w:themeFillShade="80"/>
          </w:tcPr>
          <w:p w14:paraId="19E6804C" w14:textId="77777777" w:rsidR="00997C4A" w:rsidRPr="00514A00" w:rsidRDefault="00997C4A" w:rsidP="00103209">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3AD4A71F" w14:textId="77777777" w:rsidR="00997C4A" w:rsidRPr="00514A00" w:rsidRDefault="00997C4A" w:rsidP="00103209">
            <w:pPr>
              <w:rPr>
                <w:b/>
                <w:color w:val="FFFFFF" w:themeColor="background1"/>
                <w:sz w:val="18"/>
                <w:szCs w:val="18"/>
              </w:rPr>
            </w:pPr>
            <w:r w:rsidRPr="00514A00">
              <w:rPr>
                <w:b/>
                <w:color w:val="FFFFFF" w:themeColor="background1"/>
                <w:sz w:val="18"/>
                <w:szCs w:val="18"/>
              </w:rPr>
              <w:t xml:space="preserve">Modifications to narrative </w:t>
            </w:r>
          </w:p>
        </w:tc>
      </w:tr>
      <w:tr w:rsidR="00301B78" w:rsidRPr="00514A00" w14:paraId="25DC816A" w14:textId="77777777" w:rsidTr="00303679">
        <w:tc>
          <w:tcPr>
            <w:tcW w:w="1035" w:type="pct"/>
          </w:tcPr>
          <w:p w14:paraId="7917575A" w14:textId="77777777" w:rsidR="00301B78" w:rsidRPr="006E16A5" w:rsidRDefault="00301B78" w:rsidP="00301B78">
            <w:pPr>
              <w:pStyle w:val="ListParagraph"/>
              <w:numPr>
                <w:ilvl w:val="0"/>
                <w:numId w:val="5"/>
              </w:numPr>
              <w:rPr>
                <w:sz w:val="18"/>
                <w:szCs w:val="18"/>
              </w:rPr>
            </w:pPr>
            <w:r w:rsidRPr="00254C9A">
              <w:rPr>
                <w:b/>
                <w:sz w:val="18"/>
                <w:szCs w:val="18"/>
              </w:rPr>
              <w:t xml:space="preserve">For all Flagships, </w:t>
            </w:r>
            <w:r w:rsidRPr="00254C9A">
              <w:rPr>
                <w:b/>
                <w:i/>
                <w:sz w:val="18"/>
                <w:szCs w:val="18"/>
                <w:u w:val="single"/>
              </w:rPr>
              <w:t>additional explanation on scientific opportunities</w:t>
            </w:r>
            <w:r w:rsidRPr="00254C9A">
              <w:rPr>
                <w:b/>
                <w:i/>
                <w:sz w:val="18"/>
                <w:szCs w:val="18"/>
              </w:rPr>
              <w:t xml:space="preserve"> </w:t>
            </w:r>
            <w:r w:rsidRPr="00254C9A">
              <w:rPr>
                <w:b/>
                <w:sz w:val="18"/>
                <w:szCs w:val="18"/>
              </w:rPr>
              <w:t xml:space="preserve">identified through the priority setting process and their relevance to CRP and Flagship-level Theory of Change is needed. Such a narrative should include </w:t>
            </w:r>
            <w:r w:rsidRPr="00254C9A">
              <w:rPr>
                <w:b/>
                <w:i/>
                <w:sz w:val="18"/>
                <w:szCs w:val="18"/>
                <w:u w:val="single"/>
              </w:rPr>
              <w:t>evidence on the most important constraints</w:t>
            </w:r>
            <w:r w:rsidRPr="00254C9A">
              <w:rPr>
                <w:b/>
                <w:sz w:val="18"/>
                <w:szCs w:val="18"/>
              </w:rPr>
              <w:t xml:space="preserve"> to achieving stated objectives (identified from past work), and </w:t>
            </w:r>
            <w:r w:rsidRPr="00254C9A">
              <w:rPr>
                <w:b/>
                <w:i/>
                <w:sz w:val="18"/>
                <w:szCs w:val="18"/>
                <w:u w:val="single"/>
              </w:rPr>
              <w:t>how research can address these constraints and deliver outcomes/impacts</w:t>
            </w:r>
            <w:r w:rsidRPr="00254C9A">
              <w:rPr>
                <w:b/>
                <w:sz w:val="18"/>
                <w:szCs w:val="18"/>
              </w:rPr>
              <w:t>.</w:t>
            </w:r>
          </w:p>
          <w:p w14:paraId="0F7F0D69" w14:textId="77777777" w:rsidR="00301B78" w:rsidRDefault="00301B78" w:rsidP="00301B78">
            <w:pPr>
              <w:rPr>
                <w:sz w:val="18"/>
                <w:szCs w:val="18"/>
              </w:rPr>
            </w:pPr>
          </w:p>
          <w:p w14:paraId="18323669" w14:textId="77777777" w:rsidR="00301B78" w:rsidRDefault="00301B78" w:rsidP="00301B78">
            <w:pPr>
              <w:rPr>
                <w:sz w:val="18"/>
                <w:szCs w:val="18"/>
              </w:rPr>
            </w:pPr>
          </w:p>
          <w:p w14:paraId="595E15A3" w14:textId="77777777" w:rsidR="00301B78" w:rsidRDefault="00301B78" w:rsidP="00301B78">
            <w:pPr>
              <w:rPr>
                <w:sz w:val="18"/>
                <w:szCs w:val="18"/>
              </w:rPr>
            </w:pPr>
            <w:r w:rsidRPr="006E16A5">
              <w:rPr>
                <w:sz w:val="18"/>
                <w:szCs w:val="18"/>
              </w:rPr>
              <w:t>The addendum should make clear how specific research opportunities identified reflect the Theory of Change, and how research will deliver impact in the specified timeframes (additional, but related issues are discussed in the Flagship-level comments).</w:t>
            </w:r>
          </w:p>
          <w:p w14:paraId="0970F099" w14:textId="77777777" w:rsidR="00301B78" w:rsidRDefault="00301B78" w:rsidP="00301B78">
            <w:pPr>
              <w:rPr>
                <w:sz w:val="18"/>
                <w:szCs w:val="18"/>
              </w:rPr>
            </w:pPr>
          </w:p>
          <w:p w14:paraId="4CCAE404" w14:textId="77777777" w:rsidR="00301B78" w:rsidRPr="006E16A5" w:rsidRDefault="00301B78" w:rsidP="00301B78">
            <w:pPr>
              <w:rPr>
                <w:sz w:val="18"/>
                <w:szCs w:val="18"/>
              </w:rPr>
            </w:pPr>
            <w:r w:rsidRPr="006E16A5">
              <w:rPr>
                <w:sz w:val="18"/>
                <w:szCs w:val="18"/>
              </w:rPr>
              <w:t>Examples of innovative work on livestock value chains, property rights in livestock systems, or integrated crop livestock</w:t>
            </w:r>
          </w:p>
          <w:p w14:paraId="5B8671FF" w14:textId="1E9A3D67" w:rsidR="00301B78" w:rsidRPr="00514A00" w:rsidRDefault="00301B78" w:rsidP="00301B78">
            <w:pPr>
              <w:rPr>
                <w:sz w:val="18"/>
                <w:szCs w:val="18"/>
              </w:rPr>
            </w:pPr>
            <w:proofErr w:type="gramStart"/>
            <w:r w:rsidRPr="006E16A5">
              <w:rPr>
                <w:sz w:val="18"/>
                <w:szCs w:val="18"/>
              </w:rPr>
              <w:t>systems</w:t>
            </w:r>
            <w:proofErr w:type="gramEnd"/>
            <w:r w:rsidRPr="006E16A5">
              <w:rPr>
                <w:sz w:val="18"/>
                <w:szCs w:val="18"/>
              </w:rPr>
              <w:t xml:space="preserve"> that have led to major gains in rural prosperity should be cited. Such an analysis would pave the way for a discussion on research prioritization, indicating activities to </w:t>
            </w:r>
            <w:r w:rsidRPr="006E16A5">
              <w:rPr>
                <w:sz w:val="18"/>
                <w:szCs w:val="18"/>
              </w:rPr>
              <w:lastRenderedPageBreak/>
              <w:t>be emphasized, as those to be dropped or reduced. (p3)</w:t>
            </w:r>
          </w:p>
        </w:tc>
        <w:tc>
          <w:tcPr>
            <w:tcW w:w="2964" w:type="pct"/>
            <w:gridSpan w:val="3"/>
          </w:tcPr>
          <w:p w14:paraId="4B37E320" w14:textId="0C063B05" w:rsidR="00C67EB7" w:rsidRPr="00F06ADD" w:rsidRDefault="00C67EB7" w:rsidP="00C67EB7">
            <w:pPr>
              <w:rPr>
                <w:sz w:val="18"/>
                <w:szCs w:val="18"/>
              </w:rPr>
            </w:pPr>
            <w:r w:rsidRPr="00F06ADD">
              <w:rPr>
                <w:sz w:val="18"/>
                <w:szCs w:val="18"/>
              </w:rPr>
              <w:lastRenderedPageBreak/>
              <w:t>The goal of the CRP is to create a well-nourished, equitable and environmentally healthy world through livestock research for development. This requires an adequate supply of animal source foods to rural and urban consumers, generating sufficient income to producers, (the vast majority of whom are currently smallholders), while securing the natural resource base.  Functioning markets with a vibrant</w:t>
            </w:r>
            <w:r w:rsidR="0048128E">
              <w:rPr>
                <w:sz w:val="18"/>
                <w:szCs w:val="18"/>
              </w:rPr>
              <w:t xml:space="preserve"> </w:t>
            </w:r>
            <w:r w:rsidR="0048128E" w:rsidRPr="000674F5">
              <w:rPr>
                <w:sz w:val="18"/>
                <w:szCs w:val="18"/>
              </w:rPr>
              <w:t>inclusive</w:t>
            </w:r>
            <w:r w:rsidRPr="000674F5">
              <w:rPr>
                <w:sz w:val="18"/>
                <w:szCs w:val="18"/>
              </w:rPr>
              <w:t xml:space="preserve"> p</w:t>
            </w:r>
            <w:r w:rsidRPr="00F06ADD">
              <w:rPr>
                <w:sz w:val="18"/>
                <w:szCs w:val="18"/>
              </w:rPr>
              <w:t xml:space="preserve">rivate sector providing input services and value added, reliable supply of livestock commodities based on </w:t>
            </w:r>
            <w:r w:rsidR="00303679">
              <w:rPr>
                <w:sz w:val="18"/>
                <w:szCs w:val="18"/>
              </w:rPr>
              <w:t>sustainable and stable</w:t>
            </w:r>
            <w:r w:rsidRPr="00F06ADD">
              <w:rPr>
                <w:sz w:val="18"/>
                <w:szCs w:val="18"/>
              </w:rPr>
              <w:t xml:space="preserve"> productivity operating in an enabling public policy environment are all pre-requisites for this to happen.  This framework drives the broad prioritisation of research at both the CRP and flagship levels. </w:t>
            </w:r>
            <w:r w:rsidRPr="00F06ADD">
              <w:rPr>
                <w:b/>
                <w:sz w:val="18"/>
                <w:szCs w:val="18"/>
              </w:rPr>
              <w:t>The exact balance and prioritization of activities and entry points across these three areas (markets, productivity, enabling environment) will depend on the specific constraints in the context of the livestock species, value chain, country etc. and is expected to change over time</w:t>
            </w:r>
            <w:r w:rsidRPr="00F06ADD">
              <w:rPr>
                <w:sz w:val="18"/>
                <w:szCs w:val="18"/>
              </w:rPr>
              <w:t>.</w:t>
            </w:r>
          </w:p>
          <w:p w14:paraId="3A110EAE" w14:textId="77777777" w:rsidR="00C67EB7" w:rsidRPr="00F06ADD" w:rsidRDefault="00C67EB7" w:rsidP="00C67EB7">
            <w:pPr>
              <w:rPr>
                <w:sz w:val="18"/>
                <w:szCs w:val="18"/>
              </w:rPr>
            </w:pPr>
          </w:p>
          <w:p w14:paraId="3B6CEAB3" w14:textId="77777777" w:rsidR="00C67EB7" w:rsidRPr="00F06ADD" w:rsidRDefault="00C67EB7" w:rsidP="00C67EB7">
            <w:pPr>
              <w:rPr>
                <w:sz w:val="18"/>
                <w:szCs w:val="18"/>
              </w:rPr>
            </w:pPr>
            <w:r w:rsidRPr="00F06ADD">
              <w:rPr>
                <w:sz w:val="18"/>
                <w:szCs w:val="18"/>
              </w:rPr>
              <w:t>The three elements described above have, to varying degrees, been the subject of decades of livestock research by partners in the CRP as well as other research organizations, national systems and universities worldwide.  The development impacts of such research are at times questioned, thus the CRP needed to re-evaluate and prioritise such ‘traditional’ research areas if contributions to the SLOs are to be achieved and the potential of the livestock sector to contribute to inclusive development is to be realised.  Such an analysis, drawing from the development and implementation of the Livestock and  Fish CRP, various reviews and assessments of the CRP, a number of research for development projects and the ex-ante impact assessment study conducted as part of the present CRP among others, concluded:</w:t>
            </w:r>
          </w:p>
          <w:p w14:paraId="5C74A56D" w14:textId="22DD051E" w:rsidR="00C67EB7" w:rsidRPr="00F06ADD" w:rsidRDefault="00C67EB7" w:rsidP="00C67EB7">
            <w:pPr>
              <w:pStyle w:val="ListParagraph"/>
              <w:numPr>
                <w:ilvl w:val="0"/>
                <w:numId w:val="41"/>
              </w:numPr>
              <w:rPr>
                <w:sz w:val="18"/>
                <w:szCs w:val="18"/>
              </w:rPr>
            </w:pPr>
            <w:r w:rsidRPr="00F06ADD">
              <w:rPr>
                <w:sz w:val="18"/>
                <w:szCs w:val="18"/>
              </w:rPr>
              <w:t>All three elements – markets, productivity and enabling environment are needed to address development challenges, but the balance, prioritisation and sequencing of solutions in these areas will vary according to the context of the livestock species, value chain, country etc. and is expected to change over time.  Work described in</w:t>
            </w:r>
            <w:r w:rsidR="0080437D">
              <w:rPr>
                <w:sz w:val="18"/>
                <w:szCs w:val="18"/>
              </w:rPr>
              <w:t xml:space="preserve"> the Livelihoods flagship</w:t>
            </w:r>
            <w:r w:rsidRPr="00F06ADD">
              <w:rPr>
                <w:sz w:val="18"/>
                <w:szCs w:val="18"/>
              </w:rPr>
              <w:t xml:space="preserve"> </w:t>
            </w:r>
            <w:r w:rsidR="0080437D">
              <w:rPr>
                <w:sz w:val="18"/>
                <w:szCs w:val="18"/>
              </w:rPr>
              <w:t xml:space="preserve">(LLAFS) </w:t>
            </w:r>
            <w:r w:rsidRPr="00F06ADD">
              <w:rPr>
                <w:sz w:val="18"/>
                <w:szCs w:val="18"/>
              </w:rPr>
              <w:t>aims to ensure that the CRP research is appropriate and adjusted.</w:t>
            </w:r>
          </w:p>
          <w:p w14:paraId="01FB1C9F" w14:textId="00229CAD" w:rsidR="00C67EB7" w:rsidRPr="00F06ADD" w:rsidRDefault="00C67EB7" w:rsidP="00C67EB7">
            <w:pPr>
              <w:pStyle w:val="ListParagraph"/>
              <w:numPr>
                <w:ilvl w:val="0"/>
                <w:numId w:val="41"/>
              </w:numPr>
              <w:rPr>
                <w:sz w:val="18"/>
                <w:szCs w:val="18"/>
              </w:rPr>
            </w:pPr>
            <w:r w:rsidRPr="00F06ADD">
              <w:rPr>
                <w:sz w:val="18"/>
                <w:szCs w:val="18"/>
              </w:rPr>
              <w:t xml:space="preserve">For markets and value chains, much has been learnt from CRP Livestock and Fish, and the ‘packaging’ of business-ready technical solutions with market and policy dimensions and critical attention to gender remains a key, with the added dimension in </w:t>
            </w:r>
            <w:r w:rsidR="0080437D">
              <w:rPr>
                <w:sz w:val="18"/>
                <w:szCs w:val="18"/>
              </w:rPr>
              <w:t>LLAFS</w:t>
            </w:r>
            <w:r w:rsidRPr="00F06ADD">
              <w:rPr>
                <w:sz w:val="18"/>
                <w:szCs w:val="18"/>
              </w:rPr>
              <w:t xml:space="preserve"> of ‘integration with a purpose’ – the purpose being </w:t>
            </w:r>
            <w:r w:rsidR="00303679">
              <w:rPr>
                <w:sz w:val="18"/>
                <w:szCs w:val="18"/>
              </w:rPr>
              <w:t xml:space="preserve">improved </w:t>
            </w:r>
            <w:r w:rsidRPr="00F06ADD">
              <w:rPr>
                <w:sz w:val="18"/>
                <w:szCs w:val="18"/>
              </w:rPr>
              <w:t>livelihoods, better nutrition, sound environmental incentives, etc.</w:t>
            </w:r>
          </w:p>
          <w:p w14:paraId="1985A0F5" w14:textId="7778F1CB" w:rsidR="00C67EB7" w:rsidRPr="00F06ADD" w:rsidRDefault="00C67EB7" w:rsidP="00C67EB7">
            <w:pPr>
              <w:pStyle w:val="ListParagraph"/>
              <w:numPr>
                <w:ilvl w:val="0"/>
                <w:numId w:val="41"/>
              </w:numPr>
              <w:rPr>
                <w:sz w:val="18"/>
                <w:szCs w:val="18"/>
              </w:rPr>
            </w:pPr>
            <w:r w:rsidRPr="00F06ADD">
              <w:rPr>
                <w:sz w:val="18"/>
                <w:szCs w:val="18"/>
              </w:rPr>
              <w:t xml:space="preserve">For those situations where a value chain construct is not appropriate, but a focus on mitigating vulnerability and enhancing resilience is paramount, improving livelihoods requires greater emphasis on institutional constructs, inclusiveness and enabling policies, combined with new approaches to bundle and deliver solutions. </w:t>
            </w:r>
            <w:r w:rsidR="0080437D">
              <w:rPr>
                <w:sz w:val="18"/>
                <w:szCs w:val="18"/>
              </w:rPr>
              <w:t>The</w:t>
            </w:r>
            <w:r w:rsidRPr="00F06ADD">
              <w:rPr>
                <w:sz w:val="18"/>
                <w:szCs w:val="18"/>
              </w:rPr>
              <w:t xml:space="preserve"> </w:t>
            </w:r>
            <w:r w:rsidR="0080437D">
              <w:rPr>
                <w:sz w:val="18"/>
                <w:szCs w:val="18"/>
              </w:rPr>
              <w:t>LLAFS</w:t>
            </w:r>
            <w:r w:rsidRPr="00F06ADD">
              <w:rPr>
                <w:sz w:val="18"/>
                <w:szCs w:val="18"/>
              </w:rPr>
              <w:t xml:space="preserve"> (resilience) and </w:t>
            </w:r>
            <w:r w:rsidR="0080437D">
              <w:rPr>
                <w:sz w:val="18"/>
                <w:szCs w:val="18"/>
              </w:rPr>
              <w:t>Environment</w:t>
            </w:r>
            <w:r w:rsidRPr="00F06ADD">
              <w:rPr>
                <w:sz w:val="18"/>
                <w:szCs w:val="18"/>
              </w:rPr>
              <w:t xml:space="preserve"> (adaptation) </w:t>
            </w:r>
            <w:r w:rsidR="0080437D">
              <w:rPr>
                <w:sz w:val="18"/>
                <w:szCs w:val="18"/>
              </w:rPr>
              <w:t xml:space="preserve">flagship clusters </w:t>
            </w:r>
            <w:r w:rsidRPr="00F06ADD">
              <w:rPr>
                <w:sz w:val="18"/>
                <w:szCs w:val="18"/>
              </w:rPr>
              <w:t>are set up to address this new dimension.</w:t>
            </w:r>
          </w:p>
          <w:p w14:paraId="367C9C64" w14:textId="77777777" w:rsidR="00C67EB7" w:rsidRPr="00F06ADD" w:rsidRDefault="00C67EB7" w:rsidP="00C67EB7">
            <w:pPr>
              <w:pStyle w:val="ListParagraph"/>
              <w:numPr>
                <w:ilvl w:val="0"/>
                <w:numId w:val="41"/>
              </w:numPr>
              <w:rPr>
                <w:sz w:val="18"/>
                <w:szCs w:val="18"/>
              </w:rPr>
            </w:pPr>
            <w:r w:rsidRPr="00F06ADD">
              <w:rPr>
                <w:sz w:val="18"/>
                <w:szCs w:val="18"/>
              </w:rPr>
              <w:t xml:space="preserve">Research on productivity drivers remains important because of the fundamental need to increase and stabilise over time the productivity of animal source </w:t>
            </w:r>
            <w:proofErr w:type="spellStart"/>
            <w:r w:rsidRPr="00F06ADD">
              <w:rPr>
                <w:sz w:val="18"/>
                <w:szCs w:val="18"/>
              </w:rPr>
              <w:t>agri</w:t>
            </w:r>
            <w:proofErr w:type="spellEnd"/>
            <w:r w:rsidRPr="00F06ADD">
              <w:rPr>
                <w:sz w:val="18"/>
                <w:szCs w:val="18"/>
              </w:rPr>
              <w:t>-food systems.  Underpinning gender-</w:t>
            </w:r>
            <w:r w:rsidRPr="00F06ADD">
              <w:rPr>
                <w:sz w:val="18"/>
                <w:szCs w:val="18"/>
              </w:rPr>
              <w:lastRenderedPageBreak/>
              <w:t>responsive technical research on livestock genetics, health and nutrition needs to deliver both short and longer term solutions to present and future biophysical and climatic challenges, and to address delivery pathways (ISPC, 2014).  Critical, and initiated in the Livestock and Fish CRP is the ‘bundling’ of such technical solutions within interventions for inclusive and sustainable public and increasingly private sector-led scaling out.</w:t>
            </w:r>
          </w:p>
          <w:p w14:paraId="65887A73" w14:textId="77777777" w:rsidR="00C67EB7" w:rsidRPr="00F06ADD" w:rsidRDefault="00C67EB7" w:rsidP="00C67EB7">
            <w:pPr>
              <w:pStyle w:val="ListParagraph"/>
              <w:numPr>
                <w:ilvl w:val="0"/>
                <w:numId w:val="40"/>
              </w:numPr>
              <w:rPr>
                <w:sz w:val="18"/>
                <w:szCs w:val="18"/>
              </w:rPr>
            </w:pPr>
            <w:r w:rsidRPr="00F06ADD">
              <w:rPr>
                <w:sz w:val="18"/>
                <w:szCs w:val="18"/>
              </w:rPr>
              <w:t xml:space="preserve">The livestock sector cannot be addressed without taking cognizance of environmental dimensions, spanning both mitigation and adaption to climate change as well as other environmental impacts and incentives. </w:t>
            </w:r>
          </w:p>
          <w:p w14:paraId="3FCE6A9D" w14:textId="77777777" w:rsidR="00C67EB7" w:rsidRPr="00F06ADD" w:rsidRDefault="00C67EB7" w:rsidP="00C67EB7">
            <w:pPr>
              <w:pStyle w:val="ListParagraph"/>
              <w:rPr>
                <w:sz w:val="18"/>
                <w:szCs w:val="18"/>
              </w:rPr>
            </w:pPr>
          </w:p>
          <w:p w14:paraId="6CDCE4E5" w14:textId="7B41E9E4" w:rsidR="00C67EB7" w:rsidRPr="00F06ADD" w:rsidRDefault="00C67EB7" w:rsidP="00C67EB7">
            <w:pPr>
              <w:rPr>
                <w:sz w:val="18"/>
                <w:szCs w:val="18"/>
              </w:rPr>
            </w:pPr>
            <w:r w:rsidRPr="000674F5">
              <w:rPr>
                <w:sz w:val="18"/>
                <w:szCs w:val="18"/>
              </w:rPr>
              <w:t xml:space="preserve">These conditions form the underlying assumptions for the CRP’s theory of change – that transformational change </w:t>
            </w:r>
            <w:r w:rsidR="0048128E" w:rsidRPr="000674F5">
              <w:rPr>
                <w:sz w:val="18"/>
                <w:szCs w:val="18"/>
              </w:rPr>
              <w:t xml:space="preserve">both </w:t>
            </w:r>
            <w:r w:rsidRPr="000674F5">
              <w:rPr>
                <w:sz w:val="18"/>
                <w:szCs w:val="18"/>
              </w:rPr>
              <w:t xml:space="preserve">in smallholder-based livestock commodity systems to vibrant </w:t>
            </w:r>
            <w:proofErr w:type="spellStart"/>
            <w:r w:rsidRPr="000674F5">
              <w:rPr>
                <w:sz w:val="18"/>
                <w:szCs w:val="18"/>
              </w:rPr>
              <w:t>agri</w:t>
            </w:r>
            <w:proofErr w:type="spellEnd"/>
            <w:r w:rsidRPr="000674F5">
              <w:rPr>
                <w:sz w:val="18"/>
                <w:szCs w:val="18"/>
              </w:rPr>
              <w:t>-food farms and enterprises providing better livelihoods</w:t>
            </w:r>
            <w:r w:rsidR="0048128E" w:rsidRPr="000674F5">
              <w:rPr>
                <w:sz w:val="18"/>
                <w:szCs w:val="18"/>
              </w:rPr>
              <w:t>, as well as in households where livestock can improve resilience and promote equity,</w:t>
            </w:r>
            <w:r w:rsidRPr="000674F5">
              <w:rPr>
                <w:sz w:val="18"/>
                <w:szCs w:val="18"/>
              </w:rPr>
              <w:t xml:space="preserve"> requires balanced attention to the three entry points. The CRP is structured to address these critical elements, and to integrate solutions.</w:t>
            </w:r>
          </w:p>
          <w:p w14:paraId="7146198D" w14:textId="77777777" w:rsidR="00C67EB7" w:rsidRPr="00F06ADD" w:rsidRDefault="00C67EB7" w:rsidP="00C67EB7">
            <w:pPr>
              <w:rPr>
                <w:sz w:val="18"/>
                <w:szCs w:val="18"/>
              </w:rPr>
            </w:pPr>
          </w:p>
          <w:p w14:paraId="51ED37AD" w14:textId="0FA27BEB" w:rsidR="00C67EB7" w:rsidRPr="00E75530" w:rsidRDefault="00C67EB7" w:rsidP="00C67EB7">
            <w:pPr>
              <w:rPr>
                <w:sz w:val="18"/>
                <w:szCs w:val="18"/>
              </w:rPr>
            </w:pPr>
            <w:r w:rsidRPr="00F06ADD">
              <w:rPr>
                <w:sz w:val="18"/>
                <w:szCs w:val="18"/>
              </w:rPr>
              <w:t xml:space="preserve">In many cases low productivity is a key constraint in smallholder livestock systems in the priority countries, limiting supply of animal source foods, resulting in low incomes and high environmental impacts per unit of product.  Analysis shows that this ‘yield gap’ is a consequence of low genetic potential, poor nutrition (due to low availability and quality of feeds) and poor animal health (Staal et al, 2009). Research has shown that these constraints can be overcome but to date there has been limited impact of this research </w:t>
            </w:r>
            <w:r w:rsidR="00A3550E">
              <w:rPr>
                <w:sz w:val="18"/>
                <w:szCs w:val="18"/>
              </w:rPr>
              <w:t xml:space="preserve">at scale </w:t>
            </w:r>
            <w:r w:rsidRPr="00F06ADD">
              <w:rPr>
                <w:sz w:val="18"/>
                <w:szCs w:val="18"/>
              </w:rPr>
              <w:t xml:space="preserve">in the livestock sector, especially in Africa. This is a consequence of a combination of a) lack of appropriate, gender-responsive technologies, b) lack of integration of appropriate technologies (single technologies are unlikely to be transformative at scale - transforming livestock commodity value chains, predicated on technology combinations has had major impacts on efficiency in developed country settings (e.g. Capper et al., 2009; Capper, 2011) but also, c) critically, a lack of attention to creating private sector opportunities and the importance of an enabling environment including input and output markets and supportive, inclusive policies as a prerequisite for technology uptake, investment in delivery mechanisms and appropriate incentives for environmental sustainability.  There is evidence that different combinations of these three elements with public and private investment and innovation can lead to small-scale intensification of livestock enterprises, increasing supply and improving their incomes.  Examples include Operation Flood in India, smallholder dairy in Kenya, </w:t>
            </w:r>
            <w:r w:rsidRPr="003303DF">
              <w:rPr>
                <w:sz w:val="18"/>
                <w:szCs w:val="18"/>
              </w:rPr>
              <w:t xml:space="preserve">small-scale poultry in Bangladesh, and small-scale pig production in SE Asia and initiatives of the public and private sector in Latin America to increase forage production (Candler and Kumar, 1998; </w:t>
            </w:r>
            <w:proofErr w:type="spellStart"/>
            <w:r w:rsidRPr="003303DF">
              <w:rPr>
                <w:sz w:val="18"/>
                <w:szCs w:val="18"/>
              </w:rPr>
              <w:t>Costales</w:t>
            </w:r>
            <w:proofErr w:type="spellEnd"/>
            <w:r w:rsidRPr="003303DF">
              <w:rPr>
                <w:sz w:val="18"/>
                <w:szCs w:val="18"/>
              </w:rPr>
              <w:t xml:space="preserve"> </w:t>
            </w:r>
            <w:r w:rsidRPr="003303DF">
              <w:rPr>
                <w:i/>
                <w:sz w:val="18"/>
                <w:szCs w:val="18"/>
              </w:rPr>
              <w:t>et al</w:t>
            </w:r>
            <w:r w:rsidRPr="003303DF">
              <w:rPr>
                <w:sz w:val="18"/>
                <w:szCs w:val="18"/>
              </w:rPr>
              <w:t xml:space="preserve">., 2007; </w:t>
            </w:r>
            <w:proofErr w:type="spellStart"/>
            <w:r w:rsidRPr="003303DF">
              <w:rPr>
                <w:sz w:val="18"/>
                <w:szCs w:val="18"/>
              </w:rPr>
              <w:t>Kaitibie</w:t>
            </w:r>
            <w:proofErr w:type="spellEnd"/>
            <w:r w:rsidRPr="003303DF">
              <w:rPr>
                <w:sz w:val="18"/>
                <w:szCs w:val="18"/>
              </w:rPr>
              <w:t xml:space="preserve"> </w:t>
            </w:r>
            <w:r w:rsidRPr="003303DF">
              <w:rPr>
                <w:i/>
                <w:sz w:val="18"/>
                <w:szCs w:val="18"/>
              </w:rPr>
              <w:t>et al</w:t>
            </w:r>
            <w:r w:rsidRPr="003303DF">
              <w:rPr>
                <w:sz w:val="18"/>
                <w:szCs w:val="18"/>
              </w:rPr>
              <w:t>.</w:t>
            </w:r>
            <w:r w:rsidR="00C02C95" w:rsidRPr="003303DF">
              <w:rPr>
                <w:sz w:val="18"/>
                <w:szCs w:val="18"/>
              </w:rPr>
              <w:t>,</w:t>
            </w:r>
            <w:r w:rsidRPr="003303DF">
              <w:rPr>
                <w:sz w:val="18"/>
                <w:szCs w:val="18"/>
              </w:rPr>
              <w:t xml:space="preserve"> 2010; </w:t>
            </w:r>
            <w:proofErr w:type="spellStart"/>
            <w:r w:rsidRPr="003303DF">
              <w:rPr>
                <w:sz w:val="18"/>
                <w:szCs w:val="18"/>
              </w:rPr>
              <w:t>Fakhrul</w:t>
            </w:r>
            <w:proofErr w:type="spellEnd"/>
            <w:r w:rsidRPr="003303DF">
              <w:rPr>
                <w:sz w:val="18"/>
                <w:szCs w:val="18"/>
              </w:rPr>
              <w:t xml:space="preserve"> Islam and </w:t>
            </w:r>
            <w:proofErr w:type="spellStart"/>
            <w:r w:rsidRPr="003303DF">
              <w:rPr>
                <w:sz w:val="18"/>
                <w:szCs w:val="18"/>
              </w:rPr>
              <w:t>Jabbar</w:t>
            </w:r>
            <w:proofErr w:type="spellEnd"/>
            <w:r w:rsidRPr="003303DF">
              <w:rPr>
                <w:sz w:val="18"/>
                <w:szCs w:val="18"/>
              </w:rPr>
              <w:t>, 2005).</w:t>
            </w:r>
            <w:r w:rsidRPr="00E75530">
              <w:rPr>
                <w:sz w:val="18"/>
                <w:szCs w:val="18"/>
              </w:rPr>
              <w:t xml:space="preserve"> </w:t>
            </w:r>
          </w:p>
          <w:p w14:paraId="3714D344" w14:textId="77777777" w:rsidR="00C67EB7" w:rsidRPr="00E75530" w:rsidRDefault="00C67EB7" w:rsidP="00C67EB7">
            <w:pPr>
              <w:rPr>
                <w:sz w:val="18"/>
                <w:szCs w:val="18"/>
              </w:rPr>
            </w:pPr>
          </w:p>
          <w:p w14:paraId="294F39E0" w14:textId="42E22416" w:rsidR="00C67EB7" w:rsidRPr="00E75530" w:rsidRDefault="00C67EB7" w:rsidP="00C67EB7">
            <w:pPr>
              <w:rPr>
                <w:sz w:val="18"/>
                <w:szCs w:val="18"/>
              </w:rPr>
            </w:pPr>
            <w:r w:rsidRPr="00F06ADD">
              <w:rPr>
                <w:sz w:val="18"/>
                <w:szCs w:val="18"/>
              </w:rPr>
              <w:t>To stimulate further system transformations and increased productivity</w:t>
            </w:r>
            <w:r w:rsidR="008D3594" w:rsidRPr="00F06ADD">
              <w:rPr>
                <w:sz w:val="18"/>
                <w:szCs w:val="18"/>
              </w:rPr>
              <w:t xml:space="preserve"> and resilience</w:t>
            </w:r>
            <w:r w:rsidRPr="00F06ADD">
              <w:rPr>
                <w:sz w:val="18"/>
                <w:szCs w:val="18"/>
              </w:rPr>
              <w:t xml:space="preserve"> at scale, understanding market potential, developing appropriate technologies and providing evidence to both create an enabling policy environment, to mobilize public and private investment and ensure environmental and other incentives are balanced are therefore all critical and must be addressed as an integrated effort.</w:t>
            </w:r>
            <w:r w:rsidRPr="00E75530">
              <w:rPr>
                <w:sz w:val="18"/>
                <w:szCs w:val="18"/>
              </w:rPr>
              <w:t xml:space="preserve">  </w:t>
            </w:r>
          </w:p>
          <w:p w14:paraId="5F6BFF65" w14:textId="77777777" w:rsidR="00C67EB7" w:rsidRPr="00E75530" w:rsidRDefault="00C67EB7" w:rsidP="00C67EB7">
            <w:pPr>
              <w:rPr>
                <w:sz w:val="18"/>
                <w:szCs w:val="18"/>
              </w:rPr>
            </w:pPr>
          </w:p>
          <w:p w14:paraId="170801E2" w14:textId="77777777" w:rsidR="00A3550E" w:rsidRDefault="00C67EB7" w:rsidP="00C67EB7">
            <w:pPr>
              <w:rPr>
                <w:sz w:val="18"/>
                <w:szCs w:val="18"/>
              </w:rPr>
            </w:pPr>
            <w:r w:rsidRPr="00E75530">
              <w:rPr>
                <w:b/>
                <w:sz w:val="18"/>
                <w:szCs w:val="18"/>
              </w:rPr>
              <w:lastRenderedPageBreak/>
              <w:t>When identifying priorities, it has therefore been important to ensure a balance of research on technologies for the three main drivers of productivity (genetics, health, nutrition), systems analysis to promote adoption and for prioritisation, and environmental dimensions, with a balance of discovery versus downstream work</w:t>
            </w:r>
            <w:r w:rsidRPr="00E75530">
              <w:rPr>
                <w:sz w:val="18"/>
                <w:szCs w:val="18"/>
              </w:rPr>
              <w:t xml:space="preserve">. </w:t>
            </w:r>
          </w:p>
          <w:p w14:paraId="2453F603" w14:textId="77777777" w:rsidR="00A3550E" w:rsidRDefault="00A3550E" w:rsidP="00C67EB7">
            <w:pPr>
              <w:rPr>
                <w:sz w:val="18"/>
                <w:szCs w:val="18"/>
              </w:rPr>
            </w:pPr>
          </w:p>
          <w:p w14:paraId="4D31A84C" w14:textId="7F572479" w:rsidR="00C67EB7" w:rsidRPr="00E75530" w:rsidRDefault="00C67EB7" w:rsidP="00C67EB7">
            <w:pPr>
              <w:rPr>
                <w:sz w:val="18"/>
                <w:szCs w:val="18"/>
              </w:rPr>
            </w:pPr>
            <w:r w:rsidRPr="00E75530">
              <w:rPr>
                <w:sz w:val="18"/>
                <w:szCs w:val="18"/>
              </w:rPr>
              <w:t xml:space="preserve">Thus the three technology flagships focus primarily on developing technologies that are appropriate, gender sensitive and adapted to the context of the focus systems and value chains but also ensure that effective delivery mechanisms are established to generate the transformation change that benefits people and their communities.  </w:t>
            </w:r>
            <w:r w:rsidR="0080437D">
              <w:rPr>
                <w:sz w:val="18"/>
                <w:szCs w:val="18"/>
              </w:rPr>
              <w:t>LLAFS</w:t>
            </w:r>
            <w:r w:rsidRPr="00E75530">
              <w:rPr>
                <w:sz w:val="18"/>
                <w:szCs w:val="18"/>
              </w:rPr>
              <w:t xml:space="preserve"> provides the integrating mechanisms that address equity, livelihoods, and resilience along with the market and value chain challenges including delivery of animal source foods to poor consumers and enabling policies. </w:t>
            </w:r>
            <w:r w:rsidR="0080437D">
              <w:rPr>
                <w:sz w:val="18"/>
                <w:szCs w:val="18"/>
              </w:rPr>
              <w:t>The Environment flagship</w:t>
            </w:r>
            <w:r w:rsidRPr="00E75530">
              <w:rPr>
                <w:sz w:val="18"/>
                <w:szCs w:val="18"/>
              </w:rPr>
              <w:t xml:space="preserve"> assesses the environmental consequences and opportunities of new developments, proposes solutions for mitigating environmental harm and determines priorities for technological and social adaptation to climate change and other environmental challenges. </w:t>
            </w:r>
          </w:p>
          <w:p w14:paraId="051246F3" w14:textId="77777777" w:rsidR="00C67EB7" w:rsidRPr="00E75530" w:rsidRDefault="00C67EB7" w:rsidP="00C67EB7">
            <w:pPr>
              <w:rPr>
                <w:sz w:val="18"/>
                <w:szCs w:val="18"/>
              </w:rPr>
            </w:pPr>
          </w:p>
          <w:p w14:paraId="29389BDD" w14:textId="77777777" w:rsidR="00C67EB7" w:rsidRPr="00E75530" w:rsidRDefault="00C67EB7" w:rsidP="00C67EB7">
            <w:pPr>
              <w:rPr>
                <w:sz w:val="18"/>
                <w:szCs w:val="18"/>
              </w:rPr>
            </w:pPr>
            <w:r w:rsidRPr="00E75530">
              <w:rPr>
                <w:sz w:val="18"/>
                <w:szCs w:val="18"/>
              </w:rPr>
              <w:t>While current priorities on addressing the yield gap have emerged from and been repeatedly endorsed or refined through multiple consultative processes, the need for a more objective, evidence-based and analytical approach is well recognized. Globally, work is being undertaken to develop and apply an appropriate framework to guide prioritization for livestock research in line with the conceptually powerful crop yield gap analysis approach. This work focuses on the contribution of the three productivity drivers and is confirming (i) their inherent interdependency, meaning that addressing one alone can be expected to provide only limited incremental improvements in productivity, and (ii) that animal genetics, followed by health, provides the most significant potential gains for SS Africa and South Asia, that they need good livestock nutrition for the benefits to be borne out and that environmental pressures must be factored in (Staal et al., 2009).</w:t>
            </w:r>
          </w:p>
          <w:p w14:paraId="7BC040FA" w14:textId="77777777" w:rsidR="00C67EB7" w:rsidRPr="00E75530" w:rsidRDefault="00C67EB7" w:rsidP="00C67EB7">
            <w:pPr>
              <w:rPr>
                <w:sz w:val="18"/>
                <w:szCs w:val="18"/>
              </w:rPr>
            </w:pPr>
          </w:p>
          <w:p w14:paraId="1989B2E7" w14:textId="48B10064" w:rsidR="00C67EB7" w:rsidRPr="00E75530" w:rsidRDefault="00C67EB7" w:rsidP="00C67EB7">
            <w:pPr>
              <w:rPr>
                <w:sz w:val="18"/>
                <w:szCs w:val="18"/>
              </w:rPr>
            </w:pPr>
            <w:r w:rsidRPr="00E75530">
              <w:rPr>
                <w:sz w:val="18"/>
                <w:szCs w:val="18"/>
              </w:rPr>
              <w:t xml:space="preserve">For the ‘fragile growth’ scenario, whilst the same productivity drivers and thus, combinations of technological solutions to address the yield gap and stabilise productivity are important, </w:t>
            </w:r>
            <w:r w:rsidR="00A3550E">
              <w:rPr>
                <w:sz w:val="18"/>
                <w:szCs w:val="18"/>
              </w:rPr>
              <w:t xml:space="preserve">as is </w:t>
            </w:r>
            <w:r w:rsidRPr="00E75530">
              <w:rPr>
                <w:sz w:val="18"/>
                <w:szCs w:val="18"/>
              </w:rPr>
              <w:t>market integration</w:t>
            </w:r>
            <w:r w:rsidR="00C166F6">
              <w:rPr>
                <w:sz w:val="18"/>
                <w:szCs w:val="18"/>
              </w:rPr>
              <w:t>,</w:t>
            </w:r>
            <w:r w:rsidR="00A3550E">
              <w:rPr>
                <w:sz w:val="18"/>
                <w:szCs w:val="18"/>
              </w:rPr>
              <w:t xml:space="preserve"> but other issues must also be prioritised such as increasing</w:t>
            </w:r>
            <w:r w:rsidRPr="00E75530">
              <w:rPr>
                <w:sz w:val="18"/>
                <w:szCs w:val="18"/>
              </w:rPr>
              <w:t xml:space="preserve"> adaptive capacity, both of the people and of the environment of which they are the primary stewards. Thus the priorities for research are more skewed towards ensuring a relevant enabling policy environment related to access to resources, governance, risk mitigation etc. </w:t>
            </w:r>
          </w:p>
          <w:p w14:paraId="52A119F7" w14:textId="77777777" w:rsidR="00C67EB7" w:rsidRPr="00E75530" w:rsidRDefault="00C67EB7" w:rsidP="00C67EB7">
            <w:pPr>
              <w:rPr>
                <w:sz w:val="18"/>
                <w:szCs w:val="18"/>
              </w:rPr>
            </w:pPr>
          </w:p>
          <w:p w14:paraId="4411A682" w14:textId="77777777" w:rsidR="00A3550E" w:rsidRDefault="00C67EB7" w:rsidP="00C67EB7">
            <w:pPr>
              <w:rPr>
                <w:sz w:val="18"/>
                <w:szCs w:val="18"/>
              </w:rPr>
            </w:pPr>
            <w:r w:rsidRPr="00F06ADD">
              <w:rPr>
                <w:b/>
                <w:sz w:val="18"/>
                <w:szCs w:val="18"/>
              </w:rPr>
              <w:t>The specific prioritization within flagships also takes into account the need to deliver some short term solutions that can be achieved within the 6-year time frame of the CRP while recognising the need for investment in new technologies that may take a much longer timeframe to delivery but which will be critical to maintaining productivity increases over the next 10-20 years.</w:t>
            </w:r>
            <w:r w:rsidRPr="00F06ADD">
              <w:rPr>
                <w:sz w:val="18"/>
                <w:szCs w:val="18"/>
              </w:rPr>
              <w:t xml:space="preserve"> </w:t>
            </w:r>
          </w:p>
          <w:p w14:paraId="163D1032" w14:textId="77777777" w:rsidR="00A3550E" w:rsidRDefault="00A3550E" w:rsidP="00C67EB7">
            <w:pPr>
              <w:rPr>
                <w:sz w:val="18"/>
                <w:szCs w:val="18"/>
              </w:rPr>
            </w:pPr>
          </w:p>
          <w:p w14:paraId="096DEE9A" w14:textId="742DA5C3" w:rsidR="00C67EB7" w:rsidRPr="00E75530" w:rsidRDefault="00C67EB7" w:rsidP="00C67EB7">
            <w:pPr>
              <w:rPr>
                <w:sz w:val="18"/>
                <w:szCs w:val="18"/>
              </w:rPr>
            </w:pPr>
            <w:r w:rsidRPr="00F06ADD">
              <w:rPr>
                <w:sz w:val="18"/>
                <w:szCs w:val="18"/>
              </w:rPr>
              <w:t xml:space="preserve">For example, research on feeds and forages will combine a focus on scaling out methods and tools from the Livestock and Fish CRP that improve the ability of national researchers and development practitioners to better match existing resources and options to address feed constraints in specific contexts now (FEAST and </w:t>
            </w:r>
            <w:proofErr w:type="spellStart"/>
            <w:r w:rsidRPr="00F06ADD">
              <w:rPr>
                <w:sz w:val="18"/>
                <w:szCs w:val="18"/>
              </w:rPr>
              <w:t>TechFit</w:t>
            </w:r>
            <w:proofErr w:type="spellEnd"/>
            <w:r w:rsidRPr="00F06ADD">
              <w:rPr>
                <w:sz w:val="18"/>
                <w:szCs w:val="18"/>
              </w:rPr>
              <w:t xml:space="preserve">), while at the same time continuing the longer-term pipeline filled with ever-improving or better </w:t>
            </w:r>
            <w:r w:rsidRPr="00F06ADD">
              <w:rPr>
                <w:sz w:val="18"/>
                <w:szCs w:val="18"/>
              </w:rPr>
              <w:lastRenderedPageBreak/>
              <w:t>targeted lines of forages and full purpose crops. The prioritisation is also influenced by over 40 years of experience of what has worked, what has failed and intense engagement and consensus with partners. Further details of the priorities in the three technology flagships are presented</w:t>
            </w:r>
            <w:r w:rsidRPr="00E75530">
              <w:rPr>
                <w:sz w:val="18"/>
                <w:szCs w:val="18"/>
              </w:rPr>
              <w:t xml:space="preserve"> in response to the second major comment below</w:t>
            </w:r>
          </w:p>
          <w:p w14:paraId="59674390" w14:textId="77777777" w:rsidR="00C67EB7" w:rsidRPr="00E75530" w:rsidRDefault="00C67EB7" w:rsidP="00C67EB7">
            <w:pPr>
              <w:rPr>
                <w:sz w:val="18"/>
                <w:szCs w:val="18"/>
              </w:rPr>
            </w:pPr>
          </w:p>
          <w:p w14:paraId="6997DF4D" w14:textId="77777777" w:rsidR="00C67EB7" w:rsidRPr="00E75530" w:rsidRDefault="00C67EB7" w:rsidP="00C67EB7">
            <w:pPr>
              <w:rPr>
                <w:sz w:val="18"/>
                <w:szCs w:val="18"/>
              </w:rPr>
            </w:pPr>
            <w:r w:rsidRPr="00E75530">
              <w:rPr>
                <w:sz w:val="18"/>
                <w:szCs w:val="18"/>
              </w:rPr>
              <w:t>The ex-ante impact assessment reinforced the broad prioritization and demonstrated that the proposed agenda represents an appropriately balanced portfolio of shorter-term, lower risk downstream and longer-term higher risk upstream research.</w:t>
            </w:r>
          </w:p>
          <w:p w14:paraId="14AF6029" w14:textId="77777777" w:rsidR="002E04DF" w:rsidRPr="00E75530" w:rsidRDefault="002E04DF" w:rsidP="00301B78">
            <w:pPr>
              <w:rPr>
                <w:sz w:val="18"/>
                <w:szCs w:val="18"/>
              </w:rPr>
            </w:pPr>
          </w:p>
          <w:p w14:paraId="2708CE7A" w14:textId="17E5E009" w:rsidR="002E04DF" w:rsidRPr="00E75530" w:rsidRDefault="002E04DF" w:rsidP="00301B78">
            <w:pPr>
              <w:rPr>
                <w:b/>
                <w:sz w:val="18"/>
                <w:szCs w:val="18"/>
              </w:rPr>
            </w:pPr>
            <w:r w:rsidRPr="00E75530">
              <w:rPr>
                <w:b/>
                <w:sz w:val="18"/>
                <w:szCs w:val="18"/>
              </w:rPr>
              <w:t>References</w:t>
            </w:r>
          </w:p>
          <w:p w14:paraId="6CB2B6F1" w14:textId="77777777" w:rsidR="00301B78" w:rsidRPr="00E75530" w:rsidRDefault="00301B78" w:rsidP="00301B78">
            <w:pPr>
              <w:rPr>
                <w:sz w:val="18"/>
                <w:szCs w:val="18"/>
              </w:rPr>
            </w:pPr>
          </w:p>
          <w:p w14:paraId="5A13D563" w14:textId="579B58C8" w:rsidR="00606BA5" w:rsidRPr="00606BA5" w:rsidRDefault="00606BA5" w:rsidP="00301B78">
            <w:pPr>
              <w:autoSpaceDE w:val="0"/>
              <w:autoSpaceDN w:val="0"/>
              <w:rPr>
                <w:sz w:val="18"/>
                <w:szCs w:val="18"/>
              </w:rPr>
            </w:pPr>
            <w:r w:rsidRPr="00606BA5">
              <w:rPr>
                <w:sz w:val="18"/>
                <w:szCs w:val="18"/>
              </w:rPr>
              <w:t xml:space="preserve">Candler, W. and Kumar, N. 1998. </w:t>
            </w:r>
            <w:r w:rsidRPr="00606BA5">
              <w:rPr>
                <w:iCs/>
                <w:sz w:val="18"/>
                <w:szCs w:val="18"/>
              </w:rPr>
              <w:t>India - the dairy revolution</w:t>
            </w:r>
            <w:r w:rsidRPr="00606BA5">
              <w:rPr>
                <w:sz w:val="18"/>
                <w:szCs w:val="18"/>
              </w:rPr>
              <w:t xml:space="preserve">. Washington, D.C.: World Bank. </w:t>
            </w:r>
          </w:p>
          <w:p w14:paraId="5943DDCA" w14:textId="77777777" w:rsidR="00606BA5" w:rsidRPr="00606BA5" w:rsidRDefault="00606BA5" w:rsidP="00301B78">
            <w:pPr>
              <w:autoSpaceDE w:val="0"/>
              <w:autoSpaceDN w:val="0"/>
              <w:rPr>
                <w:sz w:val="18"/>
                <w:szCs w:val="18"/>
              </w:rPr>
            </w:pPr>
          </w:p>
          <w:p w14:paraId="1F2139F5" w14:textId="45EE1261" w:rsidR="00301B78" w:rsidRPr="00E75530" w:rsidRDefault="00301B78" w:rsidP="00301B78">
            <w:pPr>
              <w:autoSpaceDE w:val="0"/>
              <w:autoSpaceDN w:val="0"/>
              <w:rPr>
                <w:sz w:val="18"/>
                <w:szCs w:val="18"/>
              </w:rPr>
            </w:pPr>
            <w:r w:rsidRPr="00E75530">
              <w:rPr>
                <w:sz w:val="18"/>
                <w:szCs w:val="18"/>
              </w:rPr>
              <w:t xml:space="preserve">Capper, J. L. 2011. The environmental impact of beef production in the United States: 1977 compared with 2007. </w:t>
            </w:r>
            <w:r w:rsidRPr="00E75530">
              <w:rPr>
                <w:i/>
                <w:sz w:val="18"/>
                <w:szCs w:val="18"/>
              </w:rPr>
              <w:t>Journal of Animal Science</w:t>
            </w:r>
            <w:r w:rsidRPr="00E75530">
              <w:rPr>
                <w:sz w:val="18"/>
                <w:szCs w:val="18"/>
              </w:rPr>
              <w:t xml:space="preserve"> 89(12):4249-4261.</w:t>
            </w:r>
          </w:p>
          <w:p w14:paraId="58B92FF6" w14:textId="79E84189" w:rsidR="00301B78" w:rsidRPr="00E75530" w:rsidRDefault="00301B78" w:rsidP="00301B78">
            <w:pPr>
              <w:tabs>
                <w:tab w:val="left" w:pos="992"/>
              </w:tabs>
              <w:autoSpaceDE w:val="0"/>
              <w:autoSpaceDN w:val="0"/>
              <w:rPr>
                <w:sz w:val="18"/>
                <w:szCs w:val="18"/>
              </w:rPr>
            </w:pPr>
            <w:r w:rsidRPr="00E75530">
              <w:rPr>
                <w:sz w:val="18"/>
                <w:szCs w:val="18"/>
              </w:rPr>
              <w:tab/>
            </w:r>
          </w:p>
          <w:p w14:paraId="5371E6E7" w14:textId="77777777" w:rsidR="00301B78" w:rsidRPr="00E75530" w:rsidRDefault="00301B78" w:rsidP="00301B78">
            <w:pPr>
              <w:rPr>
                <w:sz w:val="18"/>
                <w:szCs w:val="18"/>
              </w:rPr>
            </w:pPr>
            <w:r w:rsidRPr="00E75530">
              <w:rPr>
                <w:sz w:val="18"/>
                <w:szCs w:val="18"/>
              </w:rPr>
              <w:t xml:space="preserve">Capper, J. L., R. A. Cady, and D. E. Bauman. 2009. The environmental impact of dairy production: 1944 compared with 2007. </w:t>
            </w:r>
            <w:r w:rsidRPr="00E75530">
              <w:rPr>
                <w:i/>
                <w:sz w:val="18"/>
                <w:szCs w:val="18"/>
              </w:rPr>
              <w:t>Journal of Animal Science</w:t>
            </w:r>
            <w:r w:rsidRPr="00E75530">
              <w:rPr>
                <w:sz w:val="18"/>
                <w:szCs w:val="18"/>
              </w:rPr>
              <w:t xml:space="preserve"> 87(6):2160-2167.</w:t>
            </w:r>
          </w:p>
          <w:p w14:paraId="59F30AC5" w14:textId="77777777" w:rsidR="00CC032E" w:rsidRPr="003303DF" w:rsidRDefault="00CC032E" w:rsidP="00301B78">
            <w:pPr>
              <w:rPr>
                <w:sz w:val="18"/>
                <w:szCs w:val="18"/>
              </w:rPr>
            </w:pPr>
          </w:p>
          <w:p w14:paraId="7AE6B15E" w14:textId="77777777" w:rsidR="003303DF" w:rsidRPr="003303DF" w:rsidRDefault="003303DF" w:rsidP="00E75530">
            <w:pPr>
              <w:rPr>
                <w:sz w:val="18"/>
                <w:szCs w:val="18"/>
              </w:rPr>
            </w:pPr>
            <w:proofErr w:type="spellStart"/>
            <w:r w:rsidRPr="003303DF">
              <w:rPr>
                <w:sz w:val="18"/>
                <w:szCs w:val="18"/>
              </w:rPr>
              <w:t>Costales</w:t>
            </w:r>
            <w:proofErr w:type="spellEnd"/>
            <w:r w:rsidRPr="003303DF">
              <w:rPr>
                <w:sz w:val="18"/>
                <w:szCs w:val="18"/>
              </w:rPr>
              <w:t xml:space="preserve">, A., Delgado, C.L., </w:t>
            </w:r>
            <w:proofErr w:type="spellStart"/>
            <w:r w:rsidRPr="003303DF">
              <w:rPr>
                <w:sz w:val="18"/>
                <w:szCs w:val="18"/>
              </w:rPr>
              <w:t>Catelo</w:t>
            </w:r>
            <w:proofErr w:type="spellEnd"/>
            <w:r w:rsidRPr="003303DF">
              <w:rPr>
                <w:sz w:val="18"/>
                <w:szCs w:val="18"/>
              </w:rPr>
              <w:t xml:space="preserve">, M.A., Lapar, M.L., </w:t>
            </w:r>
            <w:proofErr w:type="spellStart"/>
            <w:r w:rsidRPr="003303DF">
              <w:rPr>
                <w:sz w:val="18"/>
                <w:szCs w:val="18"/>
              </w:rPr>
              <w:t>Tiongco</w:t>
            </w:r>
            <w:proofErr w:type="spellEnd"/>
            <w:r w:rsidRPr="003303DF">
              <w:rPr>
                <w:sz w:val="18"/>
                <w:szCs w:val="18"/>
              </w:rPr>
              <w:t xml:space="preserve">, M., </w:t>
            </w:r>
            <w:proofErr w:type="spellStart"/>
            <w:r w:rsidRPr="003303DF">
              <w:rPr>
                <w:sz w:val="18"/>
                <w:szCs w:val="18"/>
              </w:rPr>
              <w:t>Ehui</w:t>
            </w:r>
            <w:proofErr w:type="spellEnd"/>
            <w:r w:rsidRPr="003303DF">
              <w:rPr>
                <w:sz w:val="18"/>
                <w:szCs w:val="18"/>
              </w:rPr>
              <w:t xml:space="preserve">, S.K. and Bautista, A.Z. 2007. Scale and access issues affecting smallholder hog producers in an expanding </w:t>
            </w:r>
            <w:proofErr w:type="spellStart"/>
            <w:r w:rsidRPr="003303DF">
              <w:rPr>
                <w:sz w:val="18"/>
                <w:szCs w:val="18"/>
              </w:rPr>
              <w:t>peri</w:t>
            </w:r>
            <w:proofErr w:type="spellEnd"/>
            <w:r w:rsidRPr="003303DF">
              <w:rPr>
                <w:sz w:val="18"/>
                <w:szCs w:val="18"/>
              </w:rPr>
              <w:t>-urban market: southern Luzon, Philippines. IFPRI Research Report 151. Washington, DC: IFPRI.</w:t>
            </w:r>
          </w:p>
          <w:p w14:paraId="556E2330" w14:textId="77777777" w:rsidR="003303DF" w:rsidRDefault="003303DF" w:rsidP="00E75530"/>
          <w:p w14:paraId="6EAA21E2" w14:textId="7F2F521D" w:rsidR="00E75530" w:rsidRPr="00E75530" w:rsidRDefault="00E75530" w:rsidP="00E75530">
            <w:pPr>
              <w:rPr>
                <w:sz w:val="18"/>
                <w:szCs w:val="18"/>
              </w:rPr>
            </w:pPr>
            <w:proofErr w:type="spellStart"/>
            <w:r w:rsidRPr="00E75530">
              <w:rPr>
                <w:sz w:val="18"/>
                <w:szCs w:val="18"/>
              </w:rPr>
              <w:t>Fakhrul</w:t>
            </w:r>
            <w:proofErr w:type="spellEnd"/>
            <w:r w:rsidRPr="00E75530">
              <w:rPr>
                <w:sz w:val="18"/>
                <w:szCs w:val="18"/>
              </w:rPr>
              <w:t xml:space="preserve"> Islam</w:t>
            </w:r>
            <w:r>
              <w:rPr>
                <w:sz w:val="18"/>
                <w:szCs w:val="18"/>
              </w:rPr>
              <w:t>,</w:t>
            </w:r>
            <w:r w:rsidRPr="00E75530">
              <w:rPr>
                <w:sz w:val="18"/>
                <w:szCs w:val="18"/>
              </w:rPr>
              <w:t xml:space="preserve"> S</w:t>
            </w:r>
            <w:r>
              <w:rPr>
                <w:sz w:val="18"/>
                <w:szCs w:val="18"/>
              </w:rPr>
              <w:t>.</w:t>
            </w:r>
            <w:r w:rsidRPr="00E75530">
              <w:rPr>
                <w:sz w:val="18"/>
                <w:szCs w:val="18"/>
              </w:rPr>
              <w:t>M</w:t>
            </w:r>
            <w:r>
              <w:rPr>
                <w:sz w:val="18"/>
                <w:szCs w:val="18"/>
              </w:rPr>
              <w:t>.</w:t>
            </w:r>
            <w:r w:rsidRPr="00E75530">
              <w:rPr>
                <w:sz w:val="18"/>
                <w:szCs w:val="18"/>
              </w:rPr>
              <w:t xml:space="preserve"> and </w:t>
            </w:r>
            <w:proofErr w:type="spellStart"/>
            <w:r w:rsidRPr="00E75530">
              <w:rPr>
                <w:sz w:val="18"/>
                <w:szCs w:val="18"/>
              </w:rPr>
              <w:t>Jabbar</w:t>
            </w:r>
            <w:proofErr w:type="spellEnd"/>
            <w:r>
              <w:rPr>
                <w:sz w:val="18"/>
                <w:szCs w:val="18"/>
              </w:rPr>
              <w:t>,</w:t>
            </w:r>
            <w:r w:rsidRPr="00E75530">
              <w:rPr>
                <w:sz w:val="18"/>
                <w:szCs w:val="18"/>
              </w:rPr>
              <w:t xml:space="preserve"> M</w:t>
            </w:r>
            <w:r>
              <w:rPr>
                <w:sz w:val="18"/>
                <w:szCs w:val="18"/>
              </w:rPr>
              <w:t>.</w:t>
            </w:r>
            <w:r w:rsidRPr="00E75530">
              <w:rPr>
                <w:sz w:val="18"/>
                <w:szCs w:val="18"/>
              </w:rPr>
              <w:t>A</w:t>
            </w:r>
            <w:r>
              <w:rPr>
                <w:sz w:val="18"/>
                <w:szCs w:val="18"/>
              </w:rPr>
              <w:t>.</w:t>
            </w:r>
            <w:r w:rsidRPr="00E75530">
              <w:rPr>
                <w:sz w:val="18"/>
                <w:szCs w:val="18"/>
              </w:rPr>
              <w:t> 2005</w:t>
            </w:r>
            <w:r>
              <w:rPr>
                <w:sz w:val="18"/>
                <w:szCs w:val="18"/>
              </w:rPr>
              <w:t xml:space="preserve">. </w:t>
            </w:r>
            <w:r w:rsidRPr="00E75530">
              <w:rPr>
                <w:sz w:val="18"/>
                <w:szCs w:val="18"/>
              </w:rPr>
              <w:t xml:space="preserve">Smallholder poultry model for poverty alleviation in Bangladesh: a review of evidence on impact. </w:t>
            </w:r>
            <w:r w:rsidRPr="00E75530">
              <w:rPr>
                <w:i/>
                <w:sz w:val="18"/>
                <w:szCs w:val="18"/>
              </w:rPr>
              <w:t>Livestock Research for Rural Development</w:t>
            </w:r>
            <w:r w:rsidRPr="00E75530">
              <w:rPr>
                <w:sz w:val="18"/>
                <w:szCs w:val="18"/>
              </w:rPr>
              <w:t xml:space="preserve"> 17</w:t>
            </w:r>
            <w:r>
              <w:rPr>
                <w:sz w:val="18"/>
                <w:szCs w:val="18"/>
              </w:rPr>
              <w:t xml:space="preserve">: </w:t>
            </w:r>
            <w:r w:rsidRPr="00E75530">
              <w:rPr>
                <w:sz w:val="18"/>
                <w:szCs w:val="18"/>
              </w:rPr>
              <w:t>Article #112.</w:t>
            </w:r>
          </w:p>
          <w:p w14:paraId="0FE2CFB1" w14:textId="77777777" w:rsidR="00E75530" w:rsidRPr="00E75530" w:rsidRDefault="00E75530" w:rsidP="00E75530">
            <w:pPr>
              <w:rPr>
                <w:sz w:val="18"/>
                <w:szCs w:val="18"/>
              </w:rPr>
            </w:pPr>
          </w:p>
          <w:p w14:paraId="476B28FB" w14:textId="77777777" w:rsidR="00CC032E" w:rsidRPr="00E75530" w:rsidRDefault="00CC032E" w:rsidP="00CC032E">
            <w:pPr>
              <w:rPr>
                <w:sz w:val="18"/>
                <w:szCs w:val="18"/>
              </w:rPr>
            </w:pPr>
            <w:proofErr w:type="spellStart"/>
            <w:r w:rsidRPr="00E75530">
              <w:rPr>
                <w:sz w:val="18"/>
                <w:szCs w:val="18"/>
              </w:rPr>
              <w:t>Kaitibie</w:t>
            </w:r>
            <w:proofErr w:type="spellEnd"/>
            <w:r w:rsidRPr="00E75530">
              <w:rPr>
                <w:sz w:val="18"/>
                <w:szCs w:val="18"/>
              </w:rPr>
              <w:t xml:space="preserve">, S., Omore, A.O., Rich, K., Kristjanson, P. 2010. Kenyan dairy policy change: Influence pathways and economic impacts. </w:t>
            </w:r>
            <w:r w:rsidRPr="00E75530">
              <w:rPr>
                <w:i/>
                <w:sz w:val="18"/>
                <w:szCs w:val="18"/>
              </w:rPr>
              <w:t xml:space="preserve">World Development </w:t>
            </w:r>
            <w:r w:rsidRPr="00E75530">
              <w:rPr>
                <w:sz w:val="18"/>
                <w:szCs w:val="18"/>
              </w:rPr>
              <w:t>38(10):1494-1505</w:t>
            </w:r>
          </w:p>
          <w:p w14:paraId="53B41365" w14:textId="77777777" w:rsidR="00301B78" w:rsidRPr="00E75530" w:rsidRDefault="00301B78" w:rsidP="00301B78">
            <w:pPr>
              <w:rPr>
                <w:sz w:val="18"/>
                <w:szCs w:val="18"/>
              </w:rPr>
            </w:pPr>
          </w:p>
          <w:p w14:paraId="1C3914BC" w14:textId="5952E5DF" w:rsidR="00301B78" w:rsidRPr="00E75530" w:rsidRDefault="00301B78" w:rsidP="00301B78">
            <w:pPr>
              <w:rPr>
                <w:sz w:val="18"/>
                <w:szCs w:val="18"/>
              </w:rPr>
            </w:pPr>
            <w:r w:rsidRPr="00E75530">
              <w:rPr>
                <w:sz w:val="18"/>
                <w:szCs w:val="18"/>
              </w:rPr>
              <w:t xml:space="preserve">Staal, S.J., Poole, J., Baltenweck, I., Mwacharo, J., Notenbaert, A., Randolph, T., Thorpe, W., </w:t>
            </w:r>
            <w:proofErr w:type="spellStart"/>
            <w:r w:rsidRPr="00E75530">
              <w:rPr>
                <w:sz w:val="18"/>
                <w:szCs w:val="18"/>
              </w:rPr>
              <w:t>Nzuma</w:t>
            </w:r>
            <w:proofErr w:type="spellEnd"/>
            <w:r w:rsidRPr="00E75530">
              <w:rPr>
                <w:sz w:val="18"/>
                <w:szCs w:val="18"/>
              </w:rPr>
              <w:t>, J. and Herrero, M. 2009. Targeting strategic investment in livestock development as a vehicle for rural livelihoods. Nairobi: ILRI. http://hdl.handle.net/10568/35206.</w:t>
            </w:r>
          </w:p>
          <w:p w14:paraId="3116E2E8" w14:textId="77777777" w:rsidR="00301B78" w:rsidRPr="00E75530" w:rsidRDefault="00301B78" w:rsidP="00301B78">
            <w:pPr>
              <w:rPr>
                <w:sz w:val="18"/>
                <w:szCs w:val="18"/>
              </w:rPr>
            </w:pPr>
          </w:p>
        </w:tc>
        <w:tc>
          <w:tcPr>
            <w:tcW w:w="1001" w:type="pct"/>
          </w:tcPr>
          <w:p w14:paraId="55B7AF3E" w14:textId="2E5402D9" w:rsidR="009A3389" w:rsidRDefault="009A3389" w:rsidP="00C42299">
            <w:pPr>
              <w:rPr>
                <w:sz w:val="18"/>
                <w:szCs w:val="18"/>
              </w:rPr>
            </w:pPr>
            <w:r>
              <w:rPr>
                <w:sz w:val="18"/>
                <w:szCs w:val="18"/>
              </w:rPr>
              <w:lastRenderedPageBreak/>
              <w:t>Several changes have been made to the overall narrative.</w:t>
            </w:r>
          </w:p>
          <w:p w14:paraId="02CAB558" w14:textId="77777777" w:rsidR="009A3389" w:rsidRDefault="009A3389" w:rsidP="00C42299">
            <w:pPr>
              <w:rPr>
                <w:sz w:val="18"/>
                <w:szCs w:val="18"/>
              </w:rPr>
            </w:pPr>
          </w:p>
          <w:p w14:paraId="1913C0EA" w14:textId="1A362DF6" w:rsidR="00301B78" w:rsidRPr="00514A00" w:rsidRDefault="00C67EB7" w:rsidP="009A3389">
            <w:pPr>
              <w:rPr>
                <w:sz w:val="18"/>
                <w:szCs w:val="18"/>
              </w:rPr>
            </w:pPr>
            <w:r>
              <w:rPr>
                <w:sz w:val="18"/>
                <w:szCs w:val="18"/>
              </w:rPr>
              <w:t>Section 1.0.1</w:t>
            </w:r>
            <w:r w:rsidR="009A3389">
              <w:rPr>
                <w:sz w:val="18"/>
                <w:szCs w:val="18"/>
              </w:rPr>
              <w:t xml:space="preserve">: </w:t>
            </w:r>
            <w:r w:rsidRPr="00F06ADD">
              <w:rPr>
                <w:sz w:val="18"/>
                <w:szCs w:val="18"/>
              </w:rPr>
              <w:t>Several text modifications based on this response, especially, pages 12-13</w:t>
            </w:r>
          </w:p>
        </w:tc>
      </w:tr>
      <w:bookmarkEnd w:id="3"/>
      <w:tr w:rsidR="00490130" w:rsidRPr="00514A00" w14:paraId="53296033" w14:textId="77777777" w:rsidTr="000674F5">
        <w:tc>
          <w:tcPr>
            <w:tcW w:w="1035" w:type="pct"/>
            <w:shd w:val="clear" w:color="auto" w:fill="1F4E79" w:themeFill="accent1" w:themeFillShade="80"/>
          </w:tcPr>
          <w:p w14:paraId="40617C29" w14:textId="03727510" w:rsidR="00490130" w:rsidRPr="00514A00" w:rsidRDefault="00997C4A" w:rsidP="00255208">
            <w:pPr>
              <w:rPr>
                <w:color w:val="FFFFFF" w:themeColor="background1"/>
                <w:sz w:val="18"/>
                <w:szCs w:val="18"/>
              </w:rPr>
            </w:pPr>
            <w:r w:rsidRPr="00514A00">
              <w:rPr>
                <w:color w:val="FFFFFF" w:themeColor="background1"/>
                <w:sz w:val="18"/>
                <w:szCs w:val="18"/>
              </w:rPr>
              <w:lastRenderedPageBreak/>
              <w:t>I</w:t>
            </w:r>
            <w:r w:rsidR="00255208" w:rsidRPr="00514A00">
              <w:rPr>
                <w:color w:val="FFFFFF" w:themeColor="background1"/>
                <w:sz w:val="18"/>
                <w:szCs w:val="18"/>
              </w:rPr>
              <w:t xml:space="preserve">SPC </w:t>
            </w:r>
            <w:r w:rsidR="00490130" w:rsidRPr="00514A00">
              <w:rPr>
                <w:color w:val="FFFFFF" w:themeColor="background1"/>
                <w:sz w:val="18"/>
                <w:szCs w:val="18"/>
              </w:rPr>
              <w:t>Comments</w:t>
            </w:r>
          </w:p>
        </w:tc>
        <w:tc>
          <w:tcPr>
            <w:tcW w:w="2964" w:type="pct"/>
            <w:gridSpan w:val="3"/>
            <w:shd w:val="clear" w:color="auto" w:fill="1F4E79" w:themeFill="accent1" w:themeFillShade="80"/>
          </w:tcPr>
          <w:p w14:paraId="76E5149F" w14:textId="77777777" w:rsidR="00490130" w:rsidRPr="00514A00" w:rsidRDefault="00490130" w:rsidP="00255208">
            <w:pPr>
              <w:rPr>
                <w:color w:val="FFFFFF" w:themeColor="background1"/>
                <w:sz w:val="18"/>
                <w:szCs w:val="18"/>
              </w:rPr>
            </w:pPr>
            <w:r w:rsidRPr="00514A00">
              <w:rPr>
                <w:color w:val="FFFFFF" w:themeColor="background1"/>
                <w:sz w:val="18"/>
                <w:szCs w:val="18"/>
              </w:rPr>
              <w:t>Response</w:t>
            </w:r>
          </w:p>
        </w:tc>
        <w:tc>
          <w:tcPr>
            <w:tcW w:w="1001" w:type="pct"/>
            <w:shd w:val="clear" w:color="auto" w:fill="1F4E79" w:themeFill="accent1" w:themeFillShade="80"/>
          </w:tcPr>
          <w:p w14:paraId="4D550EE6" w14:textId="5088981F" w:rsidR="00490130" w:rsidRPr="00514A00" w:rsidRDefault="00490130" w:rsidP="00255208">
            <w:pPr>
              <w:rPr>
                <w:b/>
                <w:color w:val="FFFFFF" w:themeColor="background1"/>
                <w:sz w:val="18"/>
                <w:szCs w:val="18"/>
              </w:rPr>
            </w:pPr>
            <w:r w:rsidRPr="00514A00">
              <w:rPr>
                <w:b/>
                <w:color w:val="FFFFFF" w:themeColor="background1"/>
                <w:sz w:val="18"/>
                <w:szCs w:val="18"/>
              </w:rPr>
              <w:t xml:space="preserve">Modifications to narrative </w:t>
            </w:r>
          </w:p>
        </w:tc>
      </w:tr>
      <w:tr w:rsidR="00490130" w:rsidRPr="00514A00" w14:paraId="76350C40" w14:textId="77777777" w:rsidTr="000674F5">
        <w:tc>
          <w:tcPr>
            <w:tcW w:w="1035" w:type="pct"/>
          </w:tcPr>
          <w:p w14:paraId="755C6BC7" w14:textId="77777777" w:rsidR="00490130" w:rsidRPr="00514A00" w:rsidRDefault="00490130" w:rsidP="00490130">
            <w:pPr>
              <w:pStyle w:val="ListParagraph"/>
              <w:widowControl w:val="0"/>
              <w:numPr>
                <w:ilvl w:val="0"/>
                <w:numId w:val="24"/>
              </w:numPr>
              <w:autoSpaceDE w:val="0"/>
              <w:autoSpaceDN w:val="0"/>
              <w:adjustRightInd w:val="0"/>
              <w:spacing w:after="240"/>
              <w:rPr>
                <w:b/>
                <w:sz w:val="18"/>
                <w:szCs w:val="18"/>
              </w:rPr>
            </w:pPr>
            <w:r w:rsidRPr="00514A00">
              <w:rPr>
                <w:b/>
                <w:sz w:val="18"/>
                <w:szCs w:val="18"/>
              </w:rPr>
              <w:t xml:space="preserve">Present further clarification on the scientific rationale underpinning the research focus on improved livestock breeds, vaccines, and improved feeds and forages; </w:t>
            </w:r>
            <w:r w:rsidRPr="00514A00">
              <w:rPr>
                <w:b/>
                <w:sz w:val="18"/>
                <w:szCs w:val="18"/>
              </w:rPr>
              <w:lastRenderedPageBreak/>
              <w:t>how the broader technical advances will lead to research success within six years; and, how risks will be mitigated or managed.</w:t>
            </w:r>
          </w:p>
          <w:p w14:paraId="759F96AB" w14:textId="77777777" w:rsidR="00490130" w:rsidRPr="00514A00" w:rsidRDefault="00490130" w:rsidP="00255208">
            <w:pPr>
              <w:pStyle w:val="ListParagraph"/>
              <w:ind w:left="360"/>
              <w:rPr>
                <w:sz w:val="18"/>
                <w:szCs w:val="18"/>
              </w:rPr>
            </w:pPr>
          </w:p>
        </w:tc>
        <w:tc>
          <w:tcPr>
            <w:tcW w:w="2964" w:type="pct"/>
            <w:gridSpan w:val="3"/>
          </w:tcPr>
          <w:p w14:paraId="06641530" w14:textId="59B96A91" w:rsidR="00490130" w:rsidRPr="00514A00" w:rsidRDefault="00594A70" w:rsidP="00FA53C7">
            <w:pPr>
              <w:rPr>
                <w:b/>
                <w:sz w:val="18"/>
                <w:szCs w:val="18"/>
              </w:rPr>
            </w:pPr>
            <w:r w:rsidRPr="00514A00">
              <w:rPr>
                <w:sz w:val="18"/>
                <w:szCs w:val="18"/>
              </w:rPr>
              <w:lastRenderedPageBreak/>
              <w:t xml:space="preserve">Responses </w:t>
            </w:r>
            <w:r w:rsidR="00FA53C7" w:rsidRPr="00514A00">
              <w:rPr>
                <w:sz w:val="18"/>
                <w:szCs w:val="18"/>
              </w:rPr>
              <w:t xml:space="preserve">are included </w:t>
            </w:r>
            <w:r w:rsidRPr="00514A00">
              <w:rPr>
                <w:sz w:val="18"/>
                <w:szCs w:val="18"/>
              </w:rPr>
              <w:t xml:space="preserve">below for each of the areas mentioned, improved livestock breeds, vaccines and improved </w:t>
            </w:r>
            <w:r w:rsidR="00FA53C7" w:rsidRPr="00514A00">
              <w:rPr>
                <w:sz w:val="18"/>
                <w:szCs w:val="18"/>
              </w:rPr>
              <w:t>f</w:t>
            </w:r>
            <w:r w:rsidRPr="00514A00">
              <w:rPr>
                <w:sz w:val="18"/>
                <w:szCs w:val="18"/>
              </w:rPr>
              <w:t xml:space="preserve">eeds and forages in relation to this comment and those </w:t>
            </w:r>
            <w:r w:rsidR="00FA53C7" w:rsidRPr="00514A00">
              <w:rPr>
                <w:sz w:val="18"/>
                <w:szCs w:val="18"/>
              </w:rPr>
              <w:t xml:space="preserve">related comments </w:t>
            </w:r>
            <w:r w:rsidRPr="00514A00">
              <w:rPr>
                <w:sz w:val="18"/>
                <w:szCs w:val="18"/>
              </w:rPr>
              <w:t>integrated in the flagship commentaries</w:t>
            </w:r>
            <w:r w:rsidR="00FA53C7" w:rsidRPr="00514A00">
              <w:rPr>
                <w:sz w:val="18"/>
                <w:szCs w:val="18"/>
              </w:rPr>
              <w:t xml:space="preserve">. </w:t>
            </w:r>
            <w:r w:rsidRPr="00514A00">
              <w:rPr>
                <w:sz w:val="18"/>
                <w:szCs w:val="18"/>
              </w:rPr>
              <w:t xml:space="preserve"> </w:t>
            </w:r>
            <w:r w:rsidR="00FA53C7" w:rsidRPr="00514A00">
              <w:rPr>
                <w:sz w:val="18"/>
                <w:szCs w:val="18"/>
              </w:rPr>
              <w:t>T</w:t>
            </w:r>
            <w:r w:rsidRPr="00514A00">
              <w:rPr>
                <w:sz w:val="18"/>
                <w:szCs w:val="18"/>
              </w:rPr>
              <w:t xml:space="preserve">he responses cover the </w:t>
            </w:r>
            <w:r w:rsidRPr="00514A00">
              <w:rPr>
                <w:b/>
                <w:sz w:val="18"/>
                <w:szCs w:val="18"/>
              </w:rPr>
              <w:t xml:space="preserve">scientific rationale, how success will be achieved in six years </w:t>
            </w:r>
            <w:r w:rsidRPr="00514A00">
              <w:rPr>
                <w:sz w:val="18"/>
                <w:szCs w:val="18"/>
              </w:rPr>
              <w:t>and</w:t>
            </w:r>
            <w:r w:rsidRPr="00514A00">
              <w:rPr>
                <w:b/>
                <w:sz w:val="18"/>
                <w:szCs w:val="18"/>
              </w:rPr>
              <w:t xml:space="preserve"> the mitigation of any risks.</w:t>
            </w:r>
          </w:p>
        </w:tc>
        <w:tc>
          <w:tcPr>
            <w:tcW w:w="1001" w:type="pct"/>
          </w:tcPr>
          <w:p w14:paraId="488D77AD" w14:textId="77777777" w:rsidR="00490130" w:rsidRPr="00514A00" w:rsidRDefault="00490130" w:rsidP="00255208">
            <w:pPr>
              <w:rPr>
                <w:sz w:val="18"/>
                <w:szCs w:val="18"/>
              </w:rPr>
            </w:pPr>
          </w:p>
        </w:tc>
      </w:tr>
      <w:tr w:rsidR="00F04D52" w:rsidRPr="00514A00" w14:paraId="30E03A72" w14:textId="77777777" w:rsidTr="000674F5">
        <w:tc>
          <w:tcPr>
            <w:tcW w:w="1035" w:type="pct"/>
          </w:tcPr>
          <w:p w14:paraId="0F4C3381" w14:textId="27BD27A0" w:rsidR="00F04D52" w:rsidRPr="00514A00" w:rsidRDefault="00F04D52" w:rsidP="00F04D52">
            <w:pPr>
              <w:pStyle w:val="ListParagraph"/>
              <w:numPr>
                <w:ilvl w:val="0"/>
                <w:numId w:val="36"/>
              </w:numPr>
              <w:rPr>
                <w:b/>
                <w:sz w:val="18"/>
                <w:szCs w:val="18"/>
              </w:rPr>
            </w:pPr>
            <w:r w:rsidRPr="00514A00">
              <w:rPr>
                <w:b/>
                <w:sz w:val="18"/>
                <w:szCs w:val="18"/>
              </w:rPr>
              <w:lastRenderedPageBreak/>
              <w:t xml:space="preserve">Present further clarification on the scientific rationale underpinning the research focus on </w:t>
            </w:r>
            <w:r w:rsidRPr="00514A00">
              <w:rPr>
                <w:b/>
                <w:sz w:val="18"/>
                <w:szCs w:val="18"/>
                <w:u w:val="single"/>
              </w:rPr>
              <w:t>improved livestock breeds</w:t>
            </w:r>
            <w:r w:rsidRPr="00514A00">
              <w:rPr>
                <w:b/>
                <w:sz w:val="18"/>
                <w:szCs w:val="18"/>
              </w:rPr>
              <w:t>, vaccines, and improved feeds and forages; how the broader technical advances will lead to research success within six years; and, how risks will be mitigated or managed.</w:t>
            </w:r>
          </w:p>
          <w:p w14:paraId="5FE0CBF5" w14:textId="77777777" w:rsidR="00F04D52" w:rsidRPr="00514A00" w:rsidRDefault="00F04D52" w:rsidP="00F04D52">
            <w:pPr>
              <w:pStyle w:val="ListParagraph"/>
              <w:ind w:left="0"/>
              <w:rPr>
                <w:b/>
                <w:sz w:val="18"/>
                <w:szCs w:val="18"/>
              </w:rPr>
            </w:pPr>
          </w:p>
          <w:p w14:paraId="6C23DC5F" w14:textId="3F5F7723" w:rsidR="00F04D52" w:rsidRPr="00514A00" w:rsidRDefault="00F04D52" w:rsidP="00F04D52">
            <w:pPr>
              <w:pStyle w:val="ListParagraph"/>
              <w:ind w:left="0"/>
              <w:rPr>
                <w:sz w:val="18"/>
                <w:szCs w:val="18"/>
              </w:rPr>
            </w:pPr>
            <w:r w:rsidRPr="00514A00">
              <w:rPr>
                <w:b/>
                <w:sz w:val="18"/>
                <w:szCs w:val="18"/>
              </w:rPr>
              <w:t xml:space="preserve">Livestock genetics flagship comment: </w:t>
            </w:r>
            <w:r w:rsidRPr="00514A00">
              <w:rPr>
                <w:sz w:val="18"/>
                <w:szCs w:val="18"/>
              </w:rPr>
              <w:t>A stronger justification for the relevance of the proposed research should be included in the addendum, including evidence that the genetic potential of livestock species is a limiting factor in these systems.</w:t>
            </w:r>
          </w:p>
        </w:tc>
        <w:tc>
          <w:tcPr>
            <w:tcW w:w="2964" w:type="pct"/>
            <w:gridSpan w:val="3"/>
          </w:tcPr>
          <w:p w14:paraId="42023859" w14:textId="77777777" w:rsidR="00F04D52" w:rsidRPr="002E04DF" w:rsidRDefault="00F04D52" w:rsidP="002E04DF">
            <w:pPr>
              <w:rPr>
                <w:b/>
                <w:sz w:val="18"/>
                <w:szCs w:val="18"/>
              </w:rPr>
            </w:pPr>
            <w:r w:rsidRPr="002E04DF">
              <w:rPr>
                <w:b/>
                <w:sz w:val="18"/>
                <w:szCs w:val="18"/>
              </w:rPr>
              <w:t>Improved livestock breeds</w:t>
            </w:r>
          </w:p>
          <w:p w14:paraId="6A38920F" w14:textId="77777777" w:rsidR="00F04D52" w:rsidRPr="00490130" w:rsidRDefault="00F04D52" w:rsidP="00F04D52">
            <w:pPr>
              <w:jc w:val="both"/>
              <w:rPr>
                <w:sz w:val="18"/>
                <w:szCs w:val="18"/>
              </w:rPr>
            </w:pPr>
          </w:p>
          <w:p w14:paraId="17484097" w14:textId="77777777" w:rsidR="00F04D52" w:rsidRPr="00FA53C7" w:rsidRDefault="00F04D52" w:rsidP="00F04D52">
            <w:pPr>
              <w:rPr>
                <w:b/>
                <w:sz w:val="18"/>
                <w:szCs w:val="18"/>
              </w:rPr>
            </w:pPr>
            <w:r w:rsidRPr="00FA53C7">
              <w:rPr>
                <w:b/>
                <w:sz w:val="18"/>
                <w:szCs w:val="18"/>
              </w:rPr>
              <w:t>Scientific rationale</w:t>
            </w:r>
          </w:p>
          <w:p w14:paraId="3DB43B54" w14:textId="366A11A8" w:rsidR="00F04D52" w:rsidRPr="00612D51" w:rsidRDefault="00F04D52" w:rsidP="00F04D52">
            <w:pPr>
              <w:rPr>
                <w:sz w:val="18"/>
                <w:szCs w:val="18"/>
              </w:rPr>
            </w:pPr>
            <w:r>
              <w:rPr>
                <w:sz w:val="18"/>
                <w:szCs w:val="18"/>
              </w:rPr>
              <w:t xml:space="preserve">The </w:t>
            </w:r>
            <w:r w:rsidR="004558D7">
              <w:rPr>
                <w:sz w:val="18"/>
                <w:szCs w:val="18"/>
              </w:rPr>
              <w:t xml:space="preserve">basis for the </w:t>
            </w:r>
            <w:r>
              <w:rPr>
                <w:sz w:val="18"/>
                <w:szCs w:val="18"/>
              </w:rPr>
              <w:t>flagship</w:t>
            </w:r>
            <w:r w:rsidR="004558D7">
              <w:rPr>
                <w:sz w:val="18"/>
                <w:szCs w:val="18"/>
              </w:rPr>
              <w:t xml:space="preserve">’s research </w:t>
            </w:r>
            <w:r>
              <w:rPr>
                <w:sz w:val="18"/>
                <w:szCs w:val="18"/>
              </w:rPr>
              <w:t>is</w:t>
            </w:r>
            <w:r w:rsidRPr="00612D51">
              <w:rPr>
                <w:sz w:val="18"/>
                <w:szCs w:val="18"/>
              </w:rPr>
              <w:t xml:space="preserve"> that the </w:t>
            </w:r>
            <w:r w:rsidRPr="00612D51">
              <w:rPr>
                <w:b/>
                <w:sz w:val="18"/>
                <w:szCs w:val="18"/>
              </w:rPr>
              <w:t>present genetics</w:t>
            </w:r>
            <w:r w:rsidRPr="00612D51">
              <w:rPr>
                <w:sz w:val="18"/>
                <w:szCs w:val="18"/>
              </w:rPr>
              <w:t xml:space="preserve"> of </w:t>
            </w:r>
            <w:r w:rsidR="004558D7">
              <w:rPr>
                <w:sz w:val="18"/>
                <w:szCs w:val="18"/>
              </w:rPr>
              <w:t>indigenous l</w:t>
            </w:r>
            <w:r w:rsidRPr="00612D51">
              <w:rPr>
                <w:sz w:val="18"/>
                <w:szCs w:val="18"/>
              </w:rPr>
              <w:t xml:space="preserve">ivestock species is a main limiting factor for improvement of productivity. </w:t>
            </w:r>
            <w:r>
              <w:rPr>
                <w:sz w:val="18"/>
                <w:szCs w:val="18"/>
              </w:rPr>
              <w:t>The</w:t>
            </w:r>
            <w:r w:rsidRPr="00612D51">
              <w:rPr>
                <w:sz w:val="18"/>
                <w:szCs w:val="18"/>
              </w:rPr>
              <w:t xml:space="preserve"> portfolio of genetic interventions </w:t>
            </w:r>
            <w:r>
              <w:rPr>
                <w:sz w:val="18"/>
                <w:szCs w:val="18"/>
              </w:rPr>
              <w:t xml:space="preserve">thus </w:t>
            </w:r>
            <w:r w:rsidRPr="00612D51">
              <w:rPr>
                <w:sz w:val="18"/>
                <w:szCs w:val="18"/>
              </w:rPr>
              <w:t>includes</w:t>
            </w:r>
            <w:r>
              <w:rPr>
                <w:sz w:val="18"/>
                <w:szCs w:val="18"/>
              </w:rPr>
              <w:t xml:space="preserve"> a range of approaches:</w:t>
            </w:r>
            <w:r w:rsidRPr="00612D51">
              <w:rPr>
                <w:sz w:val="18"/>
                <w:szCs w:val="18"/>
              </w:rPr>
              <w:t xml:space="preserve"> within indigenous breed improvement (small ruminants, chickens), crossbreeding (dairy cattle) and breed replacements (chicken). </w:t>
            </w:r>
            <w:r>
              <w:rPr>
                <w:sz w:val="18"/>
                <w:szCs w:val="18"/>
              </w:rPr>
              <w:t>The work will also</w:t>
            </w:r>
            <w:r w:rsidRPr="00612D51">
              <w:rPr>
                <w:sz w:val="18"/>
                <w:szCs w:val="18"/>
              </w:rPr>
              <w:t xml:space="preserve"> improve commodit</w:t>
            </w:r>
            <w:r>
              <w:rPr>
                <w:sz w:val="18"/>
                <w:szCs w:val="18"/>
              </w:rPr>
              <w:t>y</w:t>
            </w:r>
            <w:r w:rsidRPr="00612D51">
              <w:rPr>
                <w:sz w:val="18"/>
                <w:szCs w:val="18"/>
              </w:rPr>
              <w:t xml:space="preserve"> traits (e.g. milk, meat, egg</w:t>
            </w:r>
            <w:r>
              <w:rPr>
                <w:sz w:val="18"/>
                <w:szCs w:val="18"/>
              </w:rPr>
              <w:t>s</w:t>
            </w:r>
            <w:r w:rsidRPr="00612D51">
              <w:rPr>
                <w:sz w:val="18"/>
                <w:szCs w:val="18"/>
              </w:rPr>
              <w:t>) while conserving the genetic adaptation of indigenous livestock to their environmental challenges (e.g. disease resistance or heat tolerance). Last but not least, the flagship has an important discovery component, indigenous livestock genome characterization, which will further inform the genetic potential of indigenous breeds and guide new breeding improvement initiative</w:t>
            </w:r>
            <w:r>
              <w:rPr>
                <w:sz w:val="18"/>
                <w:szCs w:val="18"/>
              </w:rPr>
              <w:t>s (noting that</w:t>
            </w:r>
            <w:r w:rsidRPr="00612D51">
              <w:rPr>
                <w:sz w:val="18"/>
                <w:szCs w:val="18"/>
              </w:rPr>
              <w:t xml:space="preserve"> the impact of the lat</w:t>
            </w:r>
            <w:r>
              <w:rPr>
                <w:sz w:val="18"/>
                <w:szCs w:val="18"/>
              </w:rPr>
              <w:t>t</w:t>
            </w:r>
            <w:r w:rsidRPr="00612D51">
              <w:rPr>
                <w:sz w:val="18"/>
                <w:szCs w:val="18"/>
              </w:rPr>
              <w:t xml:space="preserve">er will be beyond the </w:t>
            </w:r>
            <w:r>
              <w:rPr>
                <w:sz w:val="18"/>
                <w:szCs w:val="18"/>
              </w:rPr>
              <w:t>six</w:t>
            </w:r>
            <w:r w:rsidRPr="00612D51">
              <w:rPr>
                <w:sz w:val="18"/>
                <w:szCs w:val="18"/>
              </w:rPr>
              <w:t xml:space="preserve"> year timeframe of the CRP</w:t>
            </w:r>
            <w:r>
              <w:rPr>
                <w:sz w:val="18"/>
                <w:szCs w:val="18"/>
              </w:rPr>
              <w:t>)</w:t>
            </w:r>
            <w:r w:rsidRPr="00612D51">
              <w:rPr>
                <w:sz w:val="18"/>
                <w:szCs w:val="18"/>
              </w:rPr>
              <w:t>.</w:t>
            </w:r>
          </w:p>
          <w:p w14:paraId="4654D564" w14:textId="77777777" w:rsidR="00F04D52" w:rsidRPr="00612D51" w:rsidRDefault="00F04D52" w:rsidP="00F04D52">
            <w:pPr>
              <w:rPr>
                <w:sz w:val="18"/>
                <w:szCs w:val="18"/>
              </w:rPr>
            </w:pPr>
          </w:p>
          <w:p w14:paraId="3F8B28EE" w14:textId="77777777" w:rsidR="00F04D52" w:rsidRDefault="00F04D52" w:rsidP="00F04D52">
            <w:pPr>
              <w:rPr>
                <w:sz w:val="18"/>
                <w:szCs w:val="18"/>
              </w:rPr>
            </w:pPr>
            <w:r>
              <w:rPr>
                <w:sz w:val="18"/>
                <w:szCs w:val="18"/>
              </w:rPr>
              <w:t>T</w:t>
            </w:r>
            <w:r w:rsidRPr="00612D51">
              <w:rPr>
                <w:sz w:val="18"/>
                <w:szCs w:val="18"/>
              </w:rPr>
              <w:t>he importance of better husbandry to improve productivity</w:t>
            </w:r>
            <w:r>
              <w:rPr>
                <w:sz w:val="18"/>
                <w:szCs w:val="18"/>
              </w:rPr>
              <w:t xml:space="preserve"> is recognised and ge</w:t>
            </w:r>
            <w:r w:rsidRPr="00612D51">
              <w:rPr>
                <w:sz w:val="18"/>
                <w:szCs w:val="18"/>
              </w:rPr>
              <w:t xml:space="preserve">netic interventions will be delivered </w:t>
            </w:r>
            <w:r w:rsidRPr="00612D51">
              <w:rPr>
                <w:rFonts w:cs="Times New Roman"/>
                <w:sz w:val="18"/>
                <w:szCs w:val="18"/>
                <w:lang w:val="en-US"/>
              </w:rPr>
              <w:t>in combination with improved husbandry practices to address feeding constraints (dairy cattle, small ruminants), predation and diseases outbreaks (chickens). However, as illustrated</w:t>
            </w:r>
            <w:r w:rsidRPr="00612D51">
              <w:rPr>
                <w:sz w:val="18"/>
                <w:szCs w:val="18"/>
              </w:rPr>
              <w:t xml:space="preserve"> by the lessons and successes from the livestock commercial sectors, and evidence obtained from the Livestock and Fish CRP, if better animal husbandry is indeed leading to better improvement in the short and medium term, delivery of new genetic</w:t>
            </w:r>
            <w:r>
              <w:rPr>
                <w:sz w:val="18"/>
                <w:szCs w:val="18"/>
              </w:rPr>
              <w:t>s</w:t>
            </w:r>
            <w:r w:rsidRPr="00612D51">
              <w:rPr>
                <w:sz w:val="18"/>
                <w:szCs w:val="18"/>
              </w:rPr>
              <w:t xml:space="preserve"> will also immediately lead to productivity improvements (see box and additional text in the narrative). In the medium and long term, selective breeding will allow continuous genetic gain improvement with management interventions tailored to optimise genotype – environment interactions.</w:t>
            </w:r>
          </w:p>
          <w:p w14:paraId="58AE16DD" w14:textId="77777777" w:rsidR="00F04D52" w:rsidRPr="00490130" w:rsidRDefault="00F04D52" w:rsidP="00F04D52">
            <w:pPr>
              <w:rPr>
                <w:rFonts w:cs="Times New Roman"/>
                <w:sz w:val="18"/>
                <w:szCs w:val="18"/>
                <w:lang w:val="en-US"/>
              </w:rPr>
            </w:pPr>
          </w:p>
          <w:p w14:paraId="29B00569" w14:textId="77777777" w:rsidR="00F04D52" w:rsidRPr="002D76A8" w:rsidRDefault="00F04D52" w:rsidP="00F04D52">
            <w:pPr>
              <w:rPr>
                <w:b/>
                <w:sz w:val="18"/>
                <w:szCs w:val="18"/>
              </w:rPr>
            </w:pPr>
            <w:r w:rsidRPr="002D76A8">
              <w:rPr>
                <w:b/>
                <w:sz w:val="18"/>
                <w:szCs w:val="18"/>
              </w:rPr>
              <w:t>Research success within six years</w:t>
            </w:r>
          </w:p>
          <w:p w14:paraId="60CC60EA" w14:textId="0B1E1287" w:rsidR="00F04D52" w:rsidRPr="00490130" w:rsidRDefault="00F04D52" w:rsidP="00F04D52">
            <w:pPr>
              <w:rPr>
                <w:sz w:val="18"/>
                <w:szCs w:val="18"/>
              </w:rPr>
            </w:pPr>
            <w:r>
              <w:rPr>
                <w:sz w:val="18"/>
                <w:szCs w:val="18"/>
              </w:rPr>
              <w:t>F</w:t>
            </w:r>
            <w:r w:rsidRPr="00490130">
              <w:rPr>
                <w:sz w:val="18"/>
                <w:szCs w:val="18"/>
              </w:rPr>
              <w:t xml:space="preserve">lagship </w:t>
            </w:r>
            <w:r>
              <w:rPr>
                <w:sz w:val="18"/>
                <w:szCs w:val="18"/>
              </w:rPr>
              <w:t>success</w:t>
            </w:r>
            <w:r w:rsidRPr="00490130">
              <w:rPr>
                <w:sz w:val="18"/>
                <w:szCs w:val="18"/>
              </w:rPr>
              <w:t xml:space="preserve"> within the six year</w:t>
            </w:r>
            <w:r>
              <w:rPr>
                <w:sz w:val="18"/>
                <w:szCs w:val="18"/>
              </w:rPr>
              <w:t xml:space="preserve"> time frame</w:t>
            </w:r>
            <w:r w:rsidRPr="00490130">
              <w:rPr>
                <w:sz w:val="18"/>
                <w:szCs w:val="18"/>
              </w:rPr>
              <w:t xml:space="preserve"> relies on the successful delivery and implementation of </w:t>
            </w:r>
            <w:r>
              <w:rPr>
                <w:sz w:val="18"/>
                <w:szCs w:val="18"/>
              </w:rPr>
              <w:t xml:space="preserve">established </w:t>
            </w:r>
            <w:r w:rsidRPr="00490130">
              <w:rPr>
                <w:sz w:val="18"/>
                <w:szCs w:val="18"/>
              </w:rPr>
              <w:t xml:space="preserve">technical </w:t>
            </w:r>
            <w:r>
              <w:rPr>
                <w:sz w:val="18"/>
                <w:szCs w:val="18"/>
              </w:rPr>
              <w:t>solutions</w:t>
            </w:r>
            <w:r w:rsidRPr="00490130">
              <w:rPr>
                <w:sz w:val="18"/>
                <w:szCs w:val="18"/>
              </w:rPr>
              <w:t>. These include efficient artificial insemination services (dairy</w:t>
            </w:r>
            <w:r>
              <w:rPr>
                <w:sz w:val="18"/>
                <w:szCs w:val="18"/>
              </w:rPr>
              <w:t>)</w:t>
            </w:r>
            <w:r w:rsidRPr="00490130">
              <w:rPr>
                <w:sz w:val="18"/>
                <w:szCs w:val="18"/>
              </w:rPr>
              <w:t>, large-scale utilisation of mobile technologies for on-farm live recording of performances (dairy, chickens), utilisation of advance genotyping technics (dairy) demonstration of the impact of community based breeding approaches (small ruminants). These provide a new conducive environment. The successes of all these technical advances have been demonstrated, at smaller scale so far, during the Livestock and Fish CRP. For the Livestock CRP, they will</w:t>
            </w:r>
            <w:r>
              <w:rPr>
                <w:sz w:val="18"/>
                <w:szCs w:val="18"/>
              </w:rPr>
              <w:t xml:space="preserve"> </w:t>
            </w:r>
            <w:r w:rsidRPr="00490130">
              <w:rPr>
                <w:sz w:val="18"/>
                <w:szCs w:val="18"/>
              </w:rPr>
              <w:t>be out-scaled.</w:t>
            </w:r>
            <w:r w:rsidR="00A5479D">
              <w:rPr>
                <w:sz w:val="18"/>
                <w:szCs w:val="18"/>
              </w:rPr>
              <w:t xml:space="preserve">  </w:t>
            </w:r>
            <w:r w:rsidR="00A5479D" w:rsidRPr="00C02C95">
              <w:rPr>
                <w:sz w:val="18"/>
                <w:szCs w:val="18"/>
              </w:rPr>
              <w:t>Novel partnerships, engagement of stakeholders at all levels and a realistic monitoring of progress will be important elements to such scaling which is acknowledged to be a challenge.</w:t>
            </w:r>
          </w:p>
          <w:p w14:paraId="1BAECDB2" w14:textId="77777777" w:rsidR="00F04D52" w:rsidRDefault="00F04D52" w:rsidP="00F04D52">
            <w:pPr>
              <w:rPr>
                <w:sz w:val="18"/>
                <w:szCs w:val="18"/>
              </w:rPr>
            </w:pPr>
          </w:p>
          <w:p w14:paraId="1C15F398" w14:textId="1E34396B" w:rsidR="00F04D52" w:rsidRPr="00490130" w:rsidRDefault="00F04D52" w:rsidP="00F04D52">
            <w:pPr>
              <w:rPr>
                <w:sz w:val="18"/>
                <w:szCs w:val="18"/>
              </w:rPr>
            </w:pPr>
            <w:r w:rsidRPr="00490130">
              <w:rPr>
                <w:sz w:val="18"/>
                <w:szCs w:val="18"/>
              </w:rPr>
              <w:t xml:space="preserve">The flagship also plans to develop and test new technologies (e.g. genome editing, phenotyping platform, large scale annotation and screening of genome data, genomic selection </w:t>
            </w:r>
            <w:proofErr w:type="spellStart"/>
            <w:r w:rsidRPr="00490130">
              <w:rPr>
                <w:sz w:val="18"/>
                <w:szCs w:val="18"/>
              </w:rPr>
              <w:t>introgression</w:t>
            </w:r>
            <w:proofErr w:type="spellEnd"/>
            <w:r w:rsidRPr="00490130">
              <w:rPr>
                <w:sz w:val="18"/>
                <w:szCs w:val="18"/>
              </w:rPr>
              <w:t xml:space="preserve"> over multiple </w:t>
            </w:r>
            <w:r w:rsidRPr="00490130">
              <w:rPr>
                <w:sz w:val="18"/>
                <w:szCs w:val="18"/>
              </w:rPr>
              <w:lastRenderedPageBreak/>
              <w:t>generation</w:t>
            </w:r>
            <w:r w:rsidR="004558D7">
              <w:rPr>
                <w:sz w:val="18"/>
                <w:szCs w:val="18"/>
              </w:rPr>
              <w:t>s</w:t>
            </w:r>
            <w:r w:rsidRPr="00490130">
              <w:rPr>
                <w:sz w:val="18"/>
                <w:szCs w:val="18"/>
              </w:rPr>
              <w:t xml:space="preserve"> etc.)</w:t>
            </w:r>
            <w:r>
              <w:rPr>
                <w:sz w:val="18"/>
                <w:szCs w:val="18"/>
              </w:rPr>
              <w:t>.</w:t>
            </w:r>
            <w:r w:rsidRPr="00490130">
              <w:rPr>
                <w:sz w:val="18"/>
                <w:szCs w:val="18"/>
              </w:rPr>
              <w:t xml:space="preserve"> </w:t>
            </w:r>
            <w:r>
              <w:rPr>
                <w:sz w:val="18"/>
                <w:szCs w:val="18"/>
              </w:rPr>
              <w:t xml:space="preserve">Such interventions are likely to </w:t>
            </w:r>
            <w:r w:rsidRPr="00490130">
              <w:rPr>
                <w:sz w:val="18"/>
                <w:szCs w:val="18"/>
              </w:rPr>
              <w:t xml:space="preserve">have major impact beyond the </w:t>
            </w:r>
            <w:r>
              <w:rPr>
                <w:sz w:val="18"/>
                <w:szCs w:val="18"/>
              </w:rPr>
              <w:t>six</w:t>
            </w:r>
            <w:r w:rsidRPr="00490130">
              <w:rPr>
                <w:sz w:val="18"/>
                <w:szCs w:val="18"/>
              </w:rPr>
              <w:t xml:space="preserve"> year</w:t>
            </w:r>
            <w:r>
              <w:rPr>
                <w:sz w:val="18"/>
                <w:szCs w:val="18"/>
              </w:rPr>
              <w:t xml:space="preserve"> timeframe, but to generate new technological advances and provide </w:t>
            </w:r>
            <w:r w:rsidRPr="00490130">
              <w:rPr>
                <w:sz w:val="18"/>
                <w:szCs w:val="18"/>
              </w:rPr>
              <w:t>the baselines needed for further improvement of productivity</w:t>
            </w:r>
            <w:r>
              <w:rPr>
                <w:sz w:val="18"/>
                <w:szCs w:val="18"/>
              </w:rPr>
              <w:t xml:space="preserve"> within the six year period</w:t>
            </w:r>
            <w:r w:rsidRPr="00490130">
              <w:rPr>
                <w:sz w:val="18"/>
                <w:szCs w:val="18"/>
              </w:rPr>
              <w:t>.</w:t>
            </w:r>
          </w:p>
          <w:p w14:paraId="112EBE1A" w14:textId="77777777" w:rsidR="00F04D52" w:rsidRDefault="00F04D52" w:rsidP="00F04D52">
            <w:pPr>
              <w:rPr>
                <w:sz w:val="18"/>
                <w:szCs w:val="18"/>
                <w:highlight w:val="yellow"/>
              </w:rPr>
            </w:pPr>
          </w:p>
          <w:p w14:paraId="493FA18B" w14:textId="77777777" w:rsidR="00F04D52" w:rsidRPr="002D76A8" w:rsidRDefault="00F04D52" w:rsidP="00F04D52">
            <w:pPr>
              <w:rPr>
                <w:b/>
                <w:sz w:val="18"/>
                <w:szCs w:val="18"/>
              </w:rPr>
            </w:pPr>
            <w:r w:rsidRPr="002D76A8">
              <w:rPr>
                <w:b/>
                <w:sz w:val="18"/>
                <w:szCs w:val="18"/>
              </w:rPr>
              <w:t>Risk mitigation/management</w:t>
            </w:r>
          </w:p>
          <w:p w14:paraId="292530E2" w14:textId="5AD548F5" w:rsidR="00F04D52" w:rsidRPr="00490130" w:rsidRDefault="00F04D52" w:rsidP="00F04D52">
            <w:pPr>
              <w:rPr>
                <w:sz w:val="18"/>
                <w:szCs w:val="18"/>
              </w:rPr>
            </w:pPr>
            <w:r>
              <w:rPr>
                <w:sz w:val="18"/>
                <w:szCs w:val="18"/>
              </w:rPr>
              <w:t>T</w:t>
            </w:r>
            <w:r w:rsidRPr="00490130">
              <w:rPr>
                <w:sz w:val="18"/>
                <w:szCs w:val="18"/>
              </w:rPr>
              <w:t>he technological side</w:t>
            </w:r>
            <w:r>
              <w:rPr>
                <w:sz w:val="18"/>
                <w:szCs w:val="18"/>
              </w:rPr>
              <w:t xml:space="preserve"> includes little risk, because </w:t>
            </w:r>
            <w:r w:rsidRPr="00490130">
              <w:rPr>
                <w:sz w:val="18"/>
                <w:szCs w:val="18"/>
              </w:rPr>
              <w:t xml:space="preserve">all of these have been successfully tested at small scale. Rather the main risks will be inefficient public and/or private partnerships for delivery. This is being mitigated by involving these partners in the design and early implementation phase of the project (e.g. commercial and/or national hatcheries) </w:t>
            </w:r>
            <w:r>
              <w:rPr>
                <w:sz w:val="18"/>
                <w:szCs w:val="18"/>
              </w:rPr>
              <w:t xml:space="preserve">by </w:t>
            </w:r>
            <w:r w:rsidRPr="00490130">
              <w:rPr>
                <w:sz w:val="18"/>
                <w:szCs w:val="18"/>
              </w:rPr>
              <w:t xml:space="preserve">strong capacity </w:t>
            </w:r>
            <w:r>
              <w:rPr>
                <w:sz w:val="18"/>
                <w:szCs w:val="18"/>
              </w:rPr>
              <w:t xml:space="preserve">development </w:t>
            </w:r>
            <w:r w:rsidRPr="00490130">
              <w:rPr>
                <w:sz w:val="18"/>
                <w:szCs w:val="18"/>
              </w:rPr>
              <w:t>components (all sp</w:t>
            </w:r>
            <w:r w:rsidRPr="00C02C95">
              <w:rPr>
                <w:sz w:val="18"/>
                <w:szCs w:val="18"/>
              </w:rPr>
              <w:t xml:space="preserve">ecies/projects) and a significant focus on gender dimensions to ensure inclusivity. </w:t>
            </w:r>
            <w:r w:rsidR="00A5479D" w:rsidRPr="00C02C95">
              <w:rPr>
                <w:sz w:val="18"/>
                <w:szCs w:val="18"/>
              </w:rPr>
              <w:t xml:space="preserve"> The flagship will monitor and</w:t>
            </w:r>
            <w:r w:rsidR="004558D7">
              <w:rPr>
                <w:sz w:val="18"/>
                <w:szCs w:val="18"/>
              </w:rPr>
              <w:t>,</w:t>
            </w:r>
            <w:r w:rsidR="00A5479D" w:rsidRPr="00C02C95">
              <w:rPr>
                <w:sz w:val="18"/>
                <w:szCs w:val="18"/>
              </w:rPr>
              <w:t xml:space="preserve"> where possible</w:t>
            </w:r>
            <w:r w:rsidR="004558D7">
              <w:rPr>
                <w:sz w:val="18"/>
                <w:szCs w:val="18"/>
              </w:rPr>
              <w:t>,</w:t>
            </w:r>
            <w:r w:rsidR="00A5479D" w:rsidRPr="00C02C95">
              <w:rPr>
                <w:sz w:val="18"/>
                <w:szCs w:val="18"/>
              </w:rPr>
              <w:t xml:space="preserve"> factor in the wider policy environment which may also impact on the success of going to scale.</w:t>
            </w:r>
            <w:r w:rsidR="00A5479D">
              <w:rPr>
                <w:sz w:val="18"/>
                <w:szCs w:val="18"/>
              </w:rPr>
              <w:t xml:space="preserve"> </w:t>
            </w:r>
          </w:p>
          <w:p w14:paraId="12D10A59" w14:textId="77777777" w:rsidR="00F04D52" w:rsidRDefault="00F04D52" w:rsidP="00F04D52">
            <w:pPr>
              <w:rPr>
                <w:sz w:val="18"/>
                <w:szCs w:val="18"/>
              </w:rPr>
            </w:pPr>
          </w:p>
          <w:p w14:paraId="7886AD4E" w14:textId="77777777" w:rsidR="00F04D52" w:rsidRPr="00490130" w:rsidRDefault="00F04D52" w:rsidP="00F04D52">
            <w:pPr>
              <w:rPr>
                <w:color w:val="000000" w:themeColor="text1"/>
                <w:sz w:val="18"/>
                <w:szCs w:val="18"/>
              </w:rPr>
            </w:pPr>
            <w:r>
              <w:rPr>
                <w:sz w:val="18"/>
                <w:szCs w:val="18"/>
              </w:rPr>
              <w:t>M</w:t>
            </w:r>
            <w:r w:rsidRPr="00490130">
              <w:rPr>
                <w:sz w:val="18"/>
                <w:szCs w:val="18"/>
              </w:rPr>
              <w:t>anagement intervention</w:t>
            </w:r>
            <w:r>
              <w:rPr>
                <w:sz w:val="18"/>
                <w:szCs w:val="18"/>
              </w:rPr>
              <w:t>s</w:t>
            </w:r>
            <w:r w:rsidRPr="00490130">
              <w:rPr>
                <w:sz w:val="18"/>
                <w:szCs w:val="18"/>
              </w:rPr>
              <w:t xml:space="preserve"> to mitigate environmental risks</w:t>
            </w:r>
            <w:r>
              <w:rPr>
                <w:sz w:val="18"/>
                <w:szCs w:val="18"/>
              </w:rPr>
              <w:t xml:space="preserve"> are also included</w:t>
            </w:r>
            <w:r w:rsidRPr="00490130">
              <w:rPr>
                <w:sz w:val="18"/>
                <w:szCs w:val="18"/>
              </w:rPr>
              <w:t xml:space="preserve">, for example compulsory vaccination against Newcastle disease in poultry and minimum feed input (all species). Another category of risk is a non-conducive policy environment. For this, the flagship includes a cluster of policy and institutional support activities, which will influence policy guidelines and strategies (such as nationally in Ethiopia and Tanzania, and more widely with </w:t>
            </w:r>
            <w:r>
              <w:rPr>
                <w:sz w:val="18"/>
                <w:szCs w:val="18"/>
              </w:rPr>
              <w:t>m</w:t>
            </w:r>
            <w:r w:rsidRPr="00490130">
              <w:rPr>
                <w:rFonts w:eastAsia="Calibri,Bold"/>
                <w:color w:val="000000" w:themeColor="text1"/>
                <w:sz w:val="18"/>
                <w:szCs w:val="18"/>
              </w:rPr>
              <w:t>ultinational organisation</w:t>
            </w:r>
            <w:r>
              <w:rPr>
                <w:rFonts w:eastAsia="Calibri,Bold"/>
                <w:color w:val="000000" w:themeColor="text1"/>
                <w:sz w:val="18"/>
                <w:szCs w:val="18"/>
              </w:rPr>
              <w:t>s</w:t>
            </w:r>
            <w:r w:rsidRPr="00490130">
              <w:rPr>
                <w:rFonts w:eastAsia="Calibri,Bold"/>
                <w:color w:val="000000" w:themeColor="text1"/>
                <w:sz w:val="18"/>
                <w:szCs w:val="18"/>
              </w:rPr>
              <w:t xml:space="preserve"> such as</w:t>
            </w:r>
            <w:r w:rsidRPr="00490130">
              <w:rPr>
                <w:color w:val="000000" w:themeColor="text1"/>
                <w:sz w:val="18"/>
                <w:szCs w:val="18"/>
              </w:rPr>
              <w:t xml:space="preserve"> the FAO’s Animal Production and Health Division and AU – IBAR).</w:t>
            </w:r>
            <w:r>
              <w:rPr>
                <w:color w:val="000000" w:themeColor="text1"/>
                <w:sz w:val="18"/>
                <w:szCs w:val="18"/>
              </w:rPr>
              <w:t xml:space="preserve">  Finally, combining livestock breed solutions with gender, technology, market, institutional and policy dimensions as part of the overall CRP approach for focus systems and value chains ensures that genetics contributes as part of integrated solutions for livelihoods, resilience and better nutrition. </w:t>
            </w:r>
          </w:p>
          <w:p w14:paraId="6E691D39" w14:textId="77777777" w:rsidR="00F04D52" w:rsidRPr="00514A00" w:rsidRDefault="00F04D52" w:rsidP="00F04D52">
            <w:pPr>
              <w:rPr>
                <w:sz w:val="18"/>
                <w:szCs w:val="18"/>
              </w:rPr>
            </w:pPr>
          </w:p>
        </w:tc>
        <w:tc>
          <w:tcPr>
            <w:tcW w:w="1001" w:type="pct"/>
          </w:tcPr>
          <w:p w14:paraId="2BA63464" w14:textId="77777777" w:rsidR="00EF1C50" w:rsidRDefault="00EF1C50" w:rsidP="00EF1C50">
            <w:pPr>
              <w:rPr>
                <w:sz w:val="18"/>
                <w:szCs w:val="18"/>
              </w:rPr>
            </w:pPr>
            <w:bookmarkStart w:id="4" w:name="_Toc447193484"/>
            <w:bookmarkStart w:id="5" w:name="_Toc445925300"/>
            <w:bookmarkStart w:id="6" w:name="_Toc445923124"/>
            <w:bookmarkStart w:id="7" w:name="_Toc444279214"/>
            <w:bookmarkStart w:id="8" w:name="_Toc444277889"/>
            <w:bookmarkStart w:id="9" w:name="_Toc447193990"/>
            <w:r>
              <w:rPr>
                <w:sz w:val="18"/>
                <w:szCs w:val="18"/>
              </w:rPr>
              <w:lastRenderedPageBreak/>
              <w:t>The flagship narrative has been updated as follows:</w:t>
            </w:r>
          </w:p>
          <w:p w14:paraId="1306C2FE" w14:textId="77777777" w:rsidR="003828C4" w:rsidRDefault="003828C4" w:rsidP="003828C4">
            <w:pPr>
              <w:rPr>
                <w:sz w:val="18"/>
                <w:szCs w:val="18"/>
              </w:rPr>
            </w:pPr>
          </w:p>
          <w:p w14:paraId="4CF785A9" w14:textId="2EDF76C5" w:rsidR="003828C4" w:rsidRDefault="003828C4" w:rsidP="003828C4">
            <w:pPr>
              <w:rPr>
                <w:sz w:val="18"/>
                <w:szCs w:val="18"/>
              </w:rPr>
            </w:pPr>
            <w:r>
              <w:rPr>
                <w:sz w:val="18"/>
                <w:szCs w:val="18"/>
              </w:rPr>
              <w:t>Sec</w:t>
            </w:r>
            <w:r w:rsidR="00886630">
              <w:rPr>
                <w:sz w:val="18"/>
                <w:szCs w:val="18"/>
              </w:rPr>
              <w:t>tion 2.1.1.1: Changes on page 58</w:t>
            </w:r>
            <w:r>
              <w:rPr>
                <w:sz w:val="18"/>
                <w:szCs w:val="18"/>
              </w:rPr>
              <w:t xml:space="preserve"> with a new Box 2.1b on genetics and productivity.</w:t>
            </w:r>
            <w:r w:rsidRPr="00490130">
              <w:rPr>
                <w:sz w:val="18"/>
                <w:szCs w:val="18"/>
              </w:rPr>
              <w:t xml:space="preserve"> </w:t>
            </w:r>
          </w:p>
          <w:p w14:paraId="2EAA2F9C" w14:textId="77777777" w:rsidR="003828C4" w:rsidRDefault="003828C4" w:rsidP="003828C4">
            <w:pPr>
              <w:rPr>
                <w:sz w:val="18"/>
                <w:szCs w:val="18"/>
              </w:rPr>
            </w:pPr>
          </w:p>
          <w:p w14:paraId="786E4335" w14:textId="3DB8D946" w:rsidR="00F04D52" w:rsidRPr="0048128E" w:rsidRDefault="00F04D52" w:rsidP="00F04D52">
            <w:pPr>
              <w:rPr>
                <w:sz w:val="18"/>
                <w:szCs w:val="18"/>
                <w:lang w:val="fr-FR"/>
              </w:rPr>
            </w:pPr>
            <w:r w:rsidRPr="0048128E">
              <w:rPr>
                <w:sz w:val="18"/>
                <w:szCs w:val="18"/>
                <w:lang w:val="fr-FR"/>
              </w:rPr>
              <w:t>Section 2.1.1.2:</w:t>
            </w:r>
            <w:r w:rsidR="003828C4" w:rsidRPr="0048128E">
              <w:rPr>
                <w:sz w:val="18"/>
                <w:szCs w:val="18"/>
                <w:lang w:val="fr-FR"/>
              </w:rPr>
              <w:t xml:space="preserve"> Changes on p</w:t>
            </w:r>
            <w:r w:rsidR="00886630">
              <w:rPr>
                <w:sz w:val="18"/>
                <w:szCs w:val="18"/>
                <w:lang w:val="fr-FR"/>
              </w:rPr>
              <w:t>age 60</w:t>
            </w:r>
          </w:p>
          <w:p w14:paraId="39154755" w14:textId="77777777" w:rsidR="00F04D52" w:rsidRPr="0048128E" w:rsidRDefault="00F04D52" w:rsidP="00F04D52">
            <w:pPr>
              <w:rPr>
                <w:sz w:val="18"/>
                <w:szCs w:val="18"/>
                <w:lang w:val="fr-FR"/>
              </w:rPr>
            </w:pPr>
            <w:bookmarkStart w:id="10" w:name="_Toc447193487"/>
            <w:bookmarkStart w:id="11" w:name="_Toc447193993"/>
            <w:bookmarkEnd w:id="4"/>
            <w:bookmarkEnd w:id="5"/>
            <w:bookmarkEnd w:id="6"/>
            <w:bookmarkEnd w:id="7"/>
            <w:bookmarkEnd w:id="8"/>
            <w:bookmarkEnd w:id="9"/>
          </w:p>
          <w:p w14:paraId="17295AD9" w14:textId="6AEC0542" w:rsidR="00F04D52" w:rsidRDefault="00886630" w:rsidP="00F04D52">
            <w:pPr>
              <w:rPr>
                <w:sz w:val="18"/>
                <w:szCs w:val="18"/>
                <w:lang w:val="fr-FR"/>
              </w:rPr>
            </w:pPr>
            <w:r>
              <w:rPr>
                <w:sz w:val="18"/>
                <w:szCs w:val="18"/>
                <w:lang w:val="fr-FR"/>
              </w:rPr>
              <w:t>Se</w:t>
            </w:r>
            <w:r w:rsidR="00F04D52" w:rsidRPr="0048128E">
              <w:rPr>
                <w:sz w:val="18"/>
                <w:szCs w:val="18"/>
                <w:lang w:val="fr-FR"/>
              </w:rPr>
              <w:t>ction 2.1.1.4:</w:t>
            </w:r>
            <w:bookmarkEnd w:id="10"/>
            <w:bookmarkEnd w:id="11"/>
            <w:r w:rsidR="003828C4" w:rsidRPr="0048128E">
              <w:rPr>
                <w:sz w:val="18"/>
                <w:szCs w:val="18"/>
                <w:lang w:val="fr-FR"/>
              </w:rPr>
              <w:t xml:space="preserve"> Changes on </w:t>
            </w:r>
            <w:r>
              <w:rPr>
                <w:sz w:val="18"/>
                <w:szCs w:val="18"/>
                <w:lang w:val="fr-FR"/>
              </w:rPr>
              <w:t>page 65</w:t>
            </w:r>
          </w:p>
          <w:p w14:paraId="33DC4F2D" w14:textId="77777777" w:rsidR="00DB4C33" w:rsidRPr="0048128E" w:rsidRDefault="00DB4C33" w:rsidP="00F04D52">
            <w:pPr>
              <w:rPr>
                <w:sz w:val="18"/>
                <w:szCs w:val="18"/>
                <w:lang w:val="fr-FR"/>
              </w:rPr>
            </w:pPr>
          </w:p>
          <w:p w14:paraId="51495787" w14:textId="190BC697" w:rsidR="003828C4" w:rsidRDefault="00F04D52" w:rsidP="00F04D52">
            <w:pPr>
              <w:rPr>
                <w:sz w:val="18"/>
                <w:szCs w:val="18"/>
              </w:rPr>
            </w:pPr>
            <w:r>
              <w:rPr>
                <w:sz w:val="18"/>
                <w:szCs w:val="18"/>
              </w:rPr>
              <w:t>Section 2.1.1.5</w:t>
            </w:r>
            <w:r w:rsidR="00886630">
              <w:rPr>
                <w:sz w:val="18"/>
                <w:szCs w:val="18"/>
              </w:rPr>
              <w:t>: Changes on page 66</w:t>
            </w:r>
          </w:p>
          <w:p w14:paraId="3A219D97" w14:textId="77777777" w:rsidR="00F04D52" w:rsidRDefault="00F04D52" w:rsidP="00F04D52">
            <w:pPr>
              <w:rPr>
                <w:sz w:val="18"/>
                <w:szCs w:val="18"/>
              </w:rPr>
            </w:pPr>
          </w:p>
          <w:p w14:paraId="36A76EF1" w14:textId="469F5B5F" w:rsidR="00F04D52" w:rsidRPr="00490130" w:rsidRDefault="00F04D52" w:rsidP="00F04D52">
            <w:pPr>
              <w:rPr>
                <w:sz w:val="18"/>
                <w:szCs w:val="18"/>
              </w:rPr>
            </w:pPr>
            <w:r w:rsidRPr="00490130">
              <w:rPr>
                <w:sz w:val="18"/>
                <w:szCs w:val="18"/>
              </w:rPr>
              <w:t xml:space="preserve"> </w:t>
            </w:r>
          </w:p>
          <w:p w14:paraId="3B43BE17" w14:textId="77777777" w:rsidR="00F04D52" w:rsidRPr="00514A00" w:rsidRDefault="00F04D52" w:rsidP="00F04D52">
            <w:pPr>
              <w:rPr>
                <w:sz w:val="18"/>
                <w:szCs w:val="18"/>
              </w:rPr>
            </w:pPr>
          </w:p>
        </w:tc>
      </w:tr>
      <w:tr w:rsidR="00F04D52" w:rsidRPr="00514A00" w14:paraId="3D4F0D88" w14:textId="77777777" w:rsidTr="000674F5">
        <w:tc>
          <w:tcPr>
            <w:tcW w:w="1045" w:type="pct"/>
            <w:gridSpan w:val="2"/>
            <w:shd w:val="clear" w:color="auto" w:fill="1F4E79" w:themeFill="accent1" w:themeFillShade="80"/>
          </w:tcPr>
          <w:p w14:paraId="68BFBFCD" w14:textId="057342A0" w:rsidR="00F04D52" w:rsidRPr="00514A00" w:rsidRDefault="00F04D52" w:rsidP="00F04D52">
            <w:pPr>
              <w:rPr>
                <w:b/>
                <w:color w:val="FFFFFF" w:themeColor="background1"/>
                <w:sz w:val="18"/>
                <w:szCs w:val="18"/>
              </w:rPr>
            </w:pPr>
            <w:r w:rsidRPr="00514A00">
              <w:rPr>
                <w:b/>
                <w:color w:val="FFFFFF" w:themeColor="background1"/>
                <w:sz w:val="18"/>
                <w:szCs w:val="18"/>
              </w:rPr>
              <w:lastRenderedPageBreak/>
              <w:t>ISPC Comments</w:t>
            </w:r>
          </w:p>
        </w:tc>
        <w:tc>
          <w:tcPr>
            <w:tcW w:w="2953" w:type="pct"/>
            <w:gridSpan w:val="2"/>
            <w:shd w:val="clear" w:color="auto" w:fill="1F4E79" w:themeFill="accent1" w:themeFillShade="80"/>
          </w:tcPr>
          <w:p w14:paraId="1F2E1442" w14:textId="77777777" w:rsidR="00F04D52" w:rsidRPr="00514A00" w:rsidRDefault="00F04D52" w:rsidP="00F04D52">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45CBFA53" w14:textId="19EA2BD3" w:rsidR="00F04D52" w:rsidRPr="00514A00" w:rsidRDefault="00F04D52" w:rsidP="00F04D52">
            <w:pPr>
              <w:rPr>
                <w:b/>
                <w:color w:val="FFFFFF" w:themeColor="background1"/>
                <w:sz w:val="18"/>
                <w:szCs w:val="18"/>
              </w:rPr>
            </w:pPr>
            <w:r w:rsidRPr="00514A00">
              <w:rPr>
                <w:b/>
                <w:color w:val="FFFFFF" w:themeColor="background1"/>
                <w:sz w:val="18"/>
                <w:szCs w:val="18"/>
              </w:rPr>
              <w:t>Modifications to narrative</w:t>
            </w:r>
          </w:p>
        </w:tc>
      </w:tr>
      <w:tr w:rsidR="00F04D52" w:rsidRPr="0048128E" w14:paraId="5B7687AC" w14:textId="77777777" w:rsidTr="000674F5">
        <w:tc>
          <w:tcPr>
            <w:tcW w:w="1045" w:type="pct"/>
            <w:gridSpan w:val="2"/>
          </w:tcPr>
          <w:p w14:paraId="62EEB7B9" w14:textId="77777777" w:rsidR="00F04D52" w:rsidRPr="00514A00" w:rsidRDefault="00F04D52" w:rsidP="00F04D52">
            <w:pPr>
              <w:pStyle w:val="ListParagraph"/>
              <w:numPr>
                <w:ilvl w:val="0"/>
                <w:numId w:val="37"/>
              </w:numPr>
              <w:spacing w:after="160" w:line="259" w:lineRule="auto"/>
              <w:rPr>
                <w:b/>
                <w:sz w:val="18"/>
                <w:szCs w:val="18"/>
              </w:rPr>
            </w:pPr>
            <w:r w:rsidRPr="00514A00">
              <w:rPr>
                <w:b/>
                <w:sz w:val="18"/>
                <w:szCs w:val="18"/>
              </w:rPr>
              <w:t xml:space="preserve">Present further clarification on the scientific rationale underpinning the research focus on improved livestock breeds, </w:t>
            </w:r>
            <w:r w:rsidRPr="00514A00">
              <w:rPr>
                <w:b/>
                <w:sz w:val="18"/>
                <w:szCs w:val="18"/>
                <w:u w:val="single"/>
              </w:rPr>
              <w:t>vaccines</w:t>
            </w:r>
            <w:r w:rsidRPr="00514A00">
              <w:rPr>
                <w:b/>
                <w:sz w:val="18"/>
                <w:szCs w:val="18"/>
              </w:rPr>
              <w:t>, and improved feeds and forages; how the broader technical advances will lead to research success within six years; and, how risks will be mitigated or managed.</w:t>
            </w:r>
          </w:p>
          <w:p w14:paraId="1CC6E9E8" w14:textId="6939BA58" w:rsidR="00F04D52" w:rsidRPr="00514A00" w:rsidRDefault="00F04D52" w:rsidP="00F04D52">
            <w:pPr>
              <w:rPr>
                <w:sz w:val="18"/>
                <w:szCs w:val="18"/>
              </w:rPr>
            </w:pPr>
          </w:p>
        </w:tc>
        <w:tc>
          <w:tcPr>
            <w:tcW w:w="2953" w:type="pct"/>
            <w:gridSpan w:val="2"/>
          </w:tcPr>
          <w:p w14:paraId="296135F3" w14:textId="77777777" w:rsidR="00F04D52" w:rsidRPr="00B356A6" w:rsidRDefault="00F04D52" w:rsidP="00F04D52">
            <w:pPr>
              <w:rPr>
                <w:b/>
                <w:sz w:val="18"/>
                <w:szCs w:val="18"/>
              </w:rPr>
            </w:pPr>
            <w:r>
              <w:rPr>
                <w:b/>
                <w:sz w:val="18"/>
                <w:szCs w:val="18"/>
              </w:rPr>
              <w:t>Improved livestock v</w:t>
            </w:r>
            <w:r w:rsidRPr="00CF29D5">
              <w:rPr>
                <w:b/>
                <w:sz w:val="18"/>
                <w:szCs w:val="18"/>
              </w:rPr>
              <w:t xml:space="preserve">accines </w:t>
            </w:r>
          </w:p>
          <w:p w14:paraId="115F7469" w14:textId="77777777" w:rsidR="00F04D52" w:rsidRPr="00CF29D5" w:rsidRDefault="00F04D52" w:rsidP="00F04D52">
            <w:pPr>
              <w:rPr>
                <w:sz w:val="18"/>
                <w:szCs w:val="18"/>
              </w:rPr>
            </w:pPr>
          </w:p>
          <w:p w14:paraId="16019E6A" w14:textId="77777777" w:rsidR="00F04D52" w:rsidRPr="001B2727" w:rsidRDefault="00F04D52" w:rsidP="00F04D52">
            <w:pPr>
              <w:rPr>
                <w:b/>
                <w:sz w:val="18"/>
                <w:szCs w:val="18"/>
              </w:rPr>
            </w:pPr>
            <w:r w:rsidRPr="001B2727">
              <w:rPr>
                <w:b/>
                <w:sz w:val="18"/>
                <w:szCs w:val="18"/>
              </w:rPr>
              <w:t xml:space="preserve">Scientific rationale </w:t>
            </w:r>
          </w:p>
          <w:p w14:paraId="5726F9CF" w14:textId="0C53BA98" w:rsidR="00F04D52" w:rsidRDefault="00F04D52" w:rsidP="00F04D52">
            <w:pPr>
              <w:rPr>
                <w:sz w:val="18"/>
                <w:szCs w:val="18"/>
              </w:rPr>
            </w:pPr>
            <w:r w:rsidRPr="00CF29D5">
              <w:rPr>
                <w:sz w:val="18"/>
                <w:szCs w:val="18"/>
              </w:rPr>
              <w:t xml:space="preserve">Whist research to develop vaccines can be costly, technologically challenging and long term, the game-changing pay-offs are well recognised </w:t>
            </w:r>
            <w:r>
              <w:rPr>
                <w:sz w:val="18"/>
                <w:szCs w:val="18"/>
              </w:rPr>
              <w:t>for</w:t>
            </w:r>
            <w:r w:rsidRPr="00CF29D5">
              <w:rPr>
                <w:sz w:val="18"/>
                <w:szCs w:val="18"/>
              </w:rPr>
              <w:t xml:space="preserve"> both human medicine </w:t>
            </w:r>
            <w:r>
              <w:rPr>
                <w:sz w:val="18"/>
                <w:szCs w:val="18"/>
              </w:rPr>
              <w:t>and livestock production</w:t>
            </w:r>
            <w:r w:rsidRPr="00CF29D5">
              <w:rPr>
                <w:sz w:val="18"/>
                <w:szCs w:val="18"/>
              </w:rPr>
              <w:t xml:space="preserve">. </w:t>
            </w:r>
            <w:r w:rsidRPr="00A90A66">
              <w:rPr>
                <w:sz w:val="18"/>
                <w:szCs w:val="18"/>
              </w:rPr>
              <w:t>Through the application of genomics and high-throughout ‘omics</w:t>
            </w:r>
            <w:r>
              <w:rPr>
                <w:sz w:val="18"/>
                <w:szCs w:val="18"/>
              </w:rPr>
              <w:t>’</w:t>
            </w:r>
            <w:r w:rsidRPr="00A90A66">
              <w:rPr>
                <w:sz w:val="18"/>
                <w:szCs w:val="18"/>
              </w:rPr>
              <w:t xml:space="preserve"> technologies, which rely on whole genome sequence data, many scientific advances in vaccinology have emerged over the past few years giving rise to renewed optimism in vaccinology (</w:t>
            </w:r>
            <w:proofErr w:type="spellStart"/>
            <w:r w:rsidRPr="00A90A66">
              <w:rPr>
                <w:sz w:val="18"/>
                <w:szCs w:val="18"/>
              </w:rPr>
              <w:t>Nakaya</w:t>
            </w:r>
            <w:proofErr w:type="spellEnd"/>
            <w:r w:rsidRPr="00A90A66">
              <w:rPr>
                <w:sz w:val="18"/>
                <w:szCs w:val="18"/>
              </w:rPr>
              <w:t xml:space="preserve"> </w:t>
            </w:r>
            <w:r w:rsidR="00F03DB8">
              <w:rPr>
                <w:sz w:val="18"/>
                <w:szCs w:val="18"/>
              </w:rPr>
              <w:t>and</w:t>
            </w:r>
            <w:r w:rsidRPr="00A90A66">
              <w:rPr>
                <w:sz w:val="18"/>
                <w:szCs w:val="18"/>
              </w:rPr>
              <w:t xml:space="preserve"> </w:t>
            </w:r>
            <w:proofErr w:type="spellStart"/>
            <w:r w:rsidRPr="00A90A66">
              <w:rPr>
                <w:sz w:val="18"/>
                <w:szCs w:val="18"/>
              </w:rPr>
              <w:t>Pulendran</w:t>
            </w:r>
            <w:proofErr w:type="spellEnd"/>
            <w:r w:rsidRPr="00A90A66">
              <w:rPr>
                <w:sz w:val="18"/>
                <w:szCs w:val="18"/>
              </w:rPr>
              <w:t xml:space="preserve">, 2015). A basic new principle is that vaccine development has finally entered the era of a 'systems approach', with big data and multidisciplinary science and technology supporting these endeavours. Novel paradigms set by new tools in three key areas of vaccinology, namely, 1) monitoring of immune responses to infection </w:t>
            </w:r>
            <w:r w:rsidR="001E171E">
              <w:rPr>
                <w:sz w:val="18"/>
                <w:szCs w:val="18"/>
              </w:rPr>
              <w:t xml:space="preserve">and </w:t>
            </w:r>
            <w:r w:rsidRPr="00A90A66">
              <w:rPr>
                <w:sz w:val="18"/>
                <w:szCs w:val="18"/>
              </w:rPr>
              <w:t>immunization, 2) candidate vaccine antigen identification and 3) re-design of vaccine antigens to increase their efficacy are accelerating the rate of vaccine development. These principles are used in an iterative manner to implement new and refine existing technologies within ILRI’s vaccine platform (ILVAC), aiming to accelerate vaccine discovery and product development.</w:t>
            </w:r>
          </w:p>
          <w:p w14:paraId="0D4A67F9" w14:textId="77777777" w:rsidR="00F04D52" w:rsidRDefault="00F04D52" w:rsidP="00F04D52">
            <w:pPr>
              <w:rPr>
                <w:sz w:val="18"/>
                <w:szCs w:val="18"/>
              </w:rPr>
            </w:pPr>
          </w:p>
          <w:p w14:paraId="7A8372E7" w14:textId="1D4A9451" w:rsidR="00F04D52" w:rsidRDefault="00F04D52" w:rsidP="00F04D52">
            <w:pPr>
              <w:rPr>
                <w:sz w:val="18"/>
                <w:szCs w:val="18"/>
              </w:rPr>
            </w:pPr>
            <w:r w:rsidRPr="000674F5">
              <w:rPr>
                <w:sz w:val="18"/>
                <w:szCs w:val="18"/>
              </w:rPr>
              <w:lastRenderedPageBreak/>
              <w:t xml:space="preserve">Efficient vaccines that are applied with good coverage have a tremendous positive in impact on animal health. The success story of the global eradication of </w:t>
            </w:r>
            <w:r w:rsidR="0052312E" w:rsidRPr="000674F5">
              <w:rPr>
                <w:sz w:val="18"/>
                <w:szCs w:val="18"/>
              </w:rPr>
              <w:t>r</w:t>
            </w:r>
            <w:r w:rsidRPr="000674F5">
              <w:rPr>
                <w:sz w:val="18"/>
                <w:szCs w:val="18"/>
              </w:rPr>
              <w:t>inderpest is the</w:t>
            </w:r>
            <w:r w:rsidRPr="00A90A66">
              <w:rPr>
                <w:sz w:val="18"/>
                <w:szCs w:val="18"/>
              </w:rPr>
              <w:t xml:space="preserve"> most prominent example of this that has worldwide ramifications (Mariner, et al, 2012). In addition, there is growing capacity and knowledge in how to react to disease outbreaks, e.g., vaccination against the recent bluetongue virus, which causes severe production losses in sheep and cattle, in European Mediterranean countries (</w:t>
            </w:r>
            <w:proofErr w:type="spellStart"/>
            <w:r w:rsidRPr="00A90A66">
              <w:rPr>
                <w:sz w:val="18"/>
                <w:szCs w:val="18"/>
              </w:rPr>
              <w:t>Savini</w:t>
            </w:r>
            <w:proofErr w:type="spellEnd"/>
            <w:r w:rsidRPr="00A90A66">
              <w:rPr>
                <w:sz w:val="18"/>
                <w:szCs w:val="18"/>
              </w:rPr>
              <w:t xml:space="preserve"> </w:t>
            </w:r>
            <w:r w:rsidR="00464D98" w:rsidRPr="00464D98">
              <w:rPr>
                <w:i/>
                <w:sz w:val="18"/>
                <w:szCs w:val="18"/>
              </w:rPr>
              <w:t>et al.,</w:t>
            </w:r>
            <w:r w:rsidRPr="00A90A66">
              <w:rPr>
                <w:sz w:val="18"/>
                <w:szCs w:val="18"/>
              </w:rPr>
              <w:t xml:space="preserve"> 2008), and, in dealing with unknown outbreaks such as the sheep </w:t>
            </w:r>
            <w:proofErr w:type="spellStart"/>
            <w:r w:rsidRPr="00A90A66">
              <w:rPr>
                <w:sz w:val="18"/>
                <w:szCs w:val="18"/>
              </w:rPr>
              <w:t>Schmallenburg</w:t>
            </w:r>
            <w:proofErr w:type="spellEnd"/>
            <w:r w:rsidRPr="00A90A66">
              <w:rPr>
                <w:sz w:val="18"/>
                <w:szCs w:val="18"/>
              </w:rPr>
              <w:t xml:space="preserve"> viral disease (</w:t>
            </w:r>
            <w:proofErr w:type="spellStart"/>
            <w:r w:rsidRPr="00A90A66">
              <w:rPr>
                <w:sz w:val="18"/>
                <w:szCs w:val="18"/>
              </w:rPr>
              <w:t>Doceul</w:t>
            </w:r>
            <w:proofErr w:type="spellEnd"/>
            <w:r w:rsidRPr="00A90A66">
              <w:rPr>
                <w:sz w:val="18"/>
                <w:szCs w:val="18"/>
              </w:rPr>
              <w:t xml:space="preserve"> </w:t>
            </w:r>
            <w:r w:rsidRPr="00F03DB8">
              <w:rPr>
                <w:i/>
                <w:sz w:val="18"/>
                <w:szCs w:val="18"/>
              </w:rPr>
              <w:t>et al</w:t>
            </w:r>
            <w:r w:rsidR="00F03DB8">
              <w:rPr>
                <w:i/>
                <w:sz w:val="18"/>
                <w:szCs w:val="18"/>
              </w:rPr>
              <w:t>.</w:t>
            </w:r>
            <w:r w:rsidRPr="00A90A66">
              <w:rPr>
                <w:sz w:val="18"/>
                <w:szCs w:val="18"/>
              </w:rPr>
              <w:t xml:space="preserve">, 2103).  </w:t>
            </w:r>
          </w:p>
          <w:p w14:paraId="1FDBF1A5" w14:textId="77777777" w:rsidR="00F04D52" w:rsidRDefault="00F04D52" w:rsidP="00F04D52">
            <w:pPr>
              <w:rPr>
                <w:sz w:val="18"/>
                <w:szCs w:val="18"/>
              </w:rPr>
            </w:pPr>
          </w:p>
          <w:p w14:paraId="53D205CE" w14:textId="77777777" w:rsidR="00F04D52" w:rsidRPr="001B2727" w:rsidRDefault="00F04D52" w:rsidP="00F04D52">
            <w:pPr>
              <w:rPr>
                <w:b/>
                <w:sz w:val="18"/>
                <w:szCs w:val="18"/>
              </w:rPr>
            </w:pPr>
            <w:r w:rsidRPr="001B2727">
              <w:rPr>
                <w:b/>
                <w:sz w:val="18"/>
                <w:szCs w:val="18"/>
              </w:rPr>
              <w:t>Research success in six years and mitigation of risks</w:t>
            </w:r>
          </w:p>
          <w:p w14:paraId="3B3598E3" w14:textId="77777777" w:rsidR="00F04D52" w:rsidRPr="00CF29D5" w:rsidRDefault="00F04D52" w:rsidP="00F04D52">
            <w:pPr>
              <w:rPr>
                <w:sz w:val="18"/>
                <w:szCs w:val="18"/>
              </w:rPr>
            </w:pPr>
            <w:r>
              <w:rPr>
                <w:sz w:val="18"/>
                <w:szCs w:val="18"/>
              </w:rPr>
              <w:t>T</w:t>
            </w:r>
            <w:r w:rsidRPr="00CF29D5">
              <w:rPr>
                <w:sz w:val="18"/>
                <w:szCs w:val="18"/>
              </w:rPr>
              <w:t>he CRP includes a number of approaches that mitigate the risk that this long term, upstream research does not also deliver results in the six year time frame of the CRP.  Included here are:</w:t>
            </w:r>
          </w:p>
          <w:p w14:paraId="12370945" w14:textId="77777777" w:rsidR="00F04D52" w:rsidRPr="00CF29D5" w:rsidRDefault="00F04D52" w:rsidP="00F04D52">
            <w:pPr>
              <w:pStyle w:val="ListParagraph"/>
              <w:numPr>
                <w:ilvl w:val="0"/>
                <w:numId w:val="8"/>
              </w:numPr>
              <w:rPr>
                <w:sz w:val="18"/>
                <w:szCs w:val="18"/>
              </w:rPr>
            </w:pPr>
            <w:r w:rsidRPr="00CF29D5">
              <w:rPr>
                <w:sz w:val="18"/>
                <w:szCs w:val="18"/>
              </w:rPr>
              <w:t>The potential for technological breakthroughs in vaccinology that may have applications beyond the focus diseases of the CRP</w:t>
            </w:r>
            <w:r>
              <w:rPr>
                <w:sz w:val="18"/>
                <w:szCs w:val="18"/>
              </w:rPr>
              <w:t>.</w:t>
            </w:r>
          </w:p>
          <w:p w14:paraId="646B5682" w14:textId="77777777" w:rsidR="00F04D52" w:rsidRPr="00CF29D5" w:rsidRDefault="00F04D52" w:rsidP="00F04D52">
            <w:pPr>
              <w:pStyle w:val="ListParagraph"/>
              <w:numPr>
                <w:ilvl w:val="0"/>
                <w:numId w:val="8"/>
              </w:numPr>
              <w:rPr>
                <w:sz w:val="18"/>
                <w:szCs w:val="18"/>
              </w:rPr>
            </w:pPr>
            <w:r w:rsidRPr="00CF29D5">
              <w:rPr>
                <w:sz w:val="18"/>
                <w:szCs w:val="18"/>
              </w:rPr>
              <w:t>Application of new technologies such as “omics” provides more powerful tools than in past and combined with participation in large international consortia increases the efficiency in the vaccine research and likelihood of success</w:t>
            </w:r>
            <w:r>
              <w:rPr>
                <w:sz w:val="18"/>
                <w:szCs w:val="18"/>
              </w:rPr>
              <w:t>.</w:t>
            </w:r>
          </w:p>
          <w:p w14:paraId="04E2AD25" w14:textId="532055CD" w:rsidR="00F04D52" w:rsidRPr="00CF29D5" w:rsidRDefault="00F04D52" w:rsidP="00F04D52">
            <w:pPr>
              <w:pStyle w:val="ListParagraph"/>
              <w:numPr>
                <w:ilvl w:val="0"/>
                <w:numId w:val="8"/>
              </w:numPr>
              <w:rPr>
                <w:sz w:val="18"/>
                <w:szCs w:val="18"/>
              </w:rPr>
            </w:pPr>
            <w:r w:rsidRPr="00CF29D5">
              <w:rPr>
                <w:sz w:val="18"/>
                <w:szCs w:val="18"/>
              </w:rPr>
              <w:t>Inclusion of processes to ensure ‘stop-go’ decisions so that investment in this research does not continue without due cognizance of the likelihood of success</w:t>
            </w:r>
            <w:r w:rsidRPr="00247B01">
              <w:rPr>
                <w:sz w:val="18"/>
                <w:szCs w:val="18"/>
              </w:rPr>
              <w:t xml:space="preserve">.  These </w:t>
            </w:r>
            <w:r w:rsidR="00D921C9" w:rsidRPr="00247B01">
              <w:rPr>
                <w:sz w:val="18"/>
                <w:szCs w:val="18"/>
              </w:rPr>
              <w:t>will be informed by</w:t>
            </w:r>
            <w:r w:rsidRPr="00247B01">
              <w:rPr>
                <w:sz w:val="18"/>
                <w:szCs w:val="18"/>
              </w:rPr>
              <w:t xml:space="preserve"> both</w:t>
            </w:r>
            <w:r>
              <w:rPr>
                <w:sz w:val="18"/>
                <w:szCs w:val="18"/>
              </w:rPr>
              <w:t xml:space="preserve"> the technical progress and feasibility as well as the realities of disease prioritisation in focus systems and value chains (cluster 1 of this flagship and broader prioritisation in </w:t>
            </w:r>
            <w:r w:rsidR="00F03DB8">
              <w:rPr>
                <w:sz w:val="18"/>
                <w:szCs w:val="18"/>
              </w:rPr>
              <w:t>the LLAFS flagship</w:t>
            </w:r>
            <w:r>
              <w:rPr>
                <w:sz w:val="18"/>
                <w:szCs w:val="18"/>
              </w:rPr>
              <w:t>).</w:t>
            </w:r>
          </w:p>
          <w:p w14:paraId="071917D9" w14:textId="77777777" w:rsidR="00F04D52" w:rsidRPr="00CF29D5" w:rsidRDefault="00F04D52" w:rsidP="00F04D52">
            <w:pPr>
              <w:rPr>
                <w:sz w:val="18"/>
                <w:szCs w:val="18"/>
              </w:rPr>
            </w:pPr>
          </w:p>
          <w:p w14:paraId="68B4842C" w14:textId="77777777" w:rsidR="00F04D52" w:rsidRPr="000674F5" w:rsidRDefault="00F04D52" w:rsidP="00F04D52">
            <w:pPr>
              <w:rPr>
                <w:sz w:val="18"/>
                <w:szCs w:val="18"/>
              </w:rPr>
            </w:pPr>
            <w:r w:rsidRPr="000674F5">
              <w:rPr>
                <w:sz w:val="18"/>
                <w:szCs w:val="18"/>
              </w:rPr>
              <w:t>The CRP also includes activities that will deliver results based on vaccines in the short term based mainly on the (considerable) past work of ILRI and partners, as well as the new partnership with SLU that brings a strength in herd health management. Deliverables in the short term – within the six year time frame include:</w:t>
            </w:r>
          </w:p>
          <w:p w14:paraId="39BF6D2D" w14:textId="02F85BAF" w:rsidR="001E171E" w:rsidRPr="000674F5" w:rsidRDefault="000674F5" w:rsidP="00F04D52">
            <w:pPr>
              <w:pStyle w:val="ListParagraph"/>
              <w:numPr>
                <w:ilvl w:val="0"/>
                <w:numId w:val="8"/>
              </w:numPr>
              <w:rPr>
                <w:sz w:val="18"/>
                <w:szCs w:val="18"/>
              </w:rPr>
            </w:pPr>
            <w:r w:rsidRPr="000674F5">
              <w:rPr>
                <w:sz w:val="18"/>
                <w:szCs w:val="18"/>
              </w:rPr>
              <w:t xml:space="preserve">Contributing to </w:t>
            </w:r>
            <w:r w:rsidR="002A2E11" w:rsidRPr="000674F5">
              <w:rPr>
                <w:sz w:val="18"/>
                <w:szCs w:val="18"/>
              </w:rPr>
              <w:t>more enabling</w:t>
            </w:r>
            <w:r w:rsidR="001E171E" w:rsidRPr="000674F5">
              <w:rPr>
                <w:sz w:val="18"/>
                <w:szCs w:val="18"/>
              </w:rPr>
              <w:t xml:space="preserve"> policy environment</w:t>
            </w:r>
            <w:r w:rsidRPr="000674F5">
              <w:rPr>
                <w:sz w:val="18"/>
                <w:szCs w:val="18"/>
              </w:rPr>
              <w:t>s that</w:t>
            </w:r>
            <w:r w:rsidR="002A2E11" w:rsidRPr="000674F5">
              <w:rPr>
                <w:sz w:val="18"/>
                <w:szCs w:val="18"/>
              </w:rPr>
              <w:t xml:space="preserve"> support livestock healthcare strategies better suited to smallholder-based livestock systems through engagement or events to provide evidence to policy makers regarding AMR and APR (national governments, OIE), PPR control (AU-IBAR, OIE and FAO), FMD control (Global Foot and Mouth Research Alliance: GFRA), African swine fever control (Global African Swine Fever Research Alliance: GARA), better coordination of research (STAR-IDAZ), and veterinary policies and veterinary service delivery strategies geared to the developing country context (OIE).</w:t>
            </w:r>
          </w:p>
          <w:p w14:paraId="703F697E" w14:textId="0667BA1D" w:rsidR="00F04D52" w:rsidRPr="00CF29D5" w:rsidRDefault="00F04D52" w:rsidP="00F04D52">
            <w:pPr>
              <w:pStyle w:val="ListParagraph"/>
              <w:numPr>
                <w:ilvl w:val="0"/>
                <w:numId w:val="8"/>
              </w:numPr>
              <w:rPr>
                <w:sz w:val="18"/>
                <w:szCs w:val="18"/>
              </w:rPr>
            </w:pPr>
            <w:r w:rsidRPr="00CF29D5">
              <w:rPr>
                <w:sz w:val="18"/>
                <w:szCs w:val="18"/>
              </w:rPr>
              <w:t>Improvements to existing vaccines (</w:t>
            </w:r>
            <w:r w:rsidR="00F03DB8" w:rsidRPr="00CF29D5">
              <w:rPr>
                <w:sz w:val="18"/>
                <w:szCs w:val="18"/>
              </w:rPr>
              <w:t xml:space="preserve">PPR </w:t>
            </w:r>
            <w:r w:rsidR="00F03DB8">
              <w:rPr>
                <w:sz w:val="18"/>
                <w:szCs w:val="18"/>
              </w:rPr>
              <w:t>and CCPP; ITM for ECF</w:t>
            </w:r>
            <w:r w:rsidRPr="00CF29D5">
              <w:rPr>
                <w:sz w:val="18"/>
                <w:szCs w:val="18"/>
              </w:rPr>
              <w:t>)</w:t>
            </w:r>
          </w:p>
          <w:p w14:paraId="4BBEFAFD" w14:textId="7C3579BF" w:rsidR="00F04D52" w:rsidRPr="00CF29D5" w:rsidRDefault="00F04D52" w:rsidP="00F04D52">
            <w:pPr>
              <w:pStyle w:val="ListParagraph"/>
              <w:numPr>
                <w:ilvl w:val="0"/>
                <w:numId w:val="8"/>
              </w:numPr>
              <w:rPr>
                <w:sz w:val="18"/>
                <w:szCs w:val="18"/>
              </w:rPr>
            </w:pPr>
            <w:r w:rsidRPr="00CF29D5">
              <w:rPr>
                <w:sz w:val="18"/>
                <w:szCs w:val="18"/>
              </w:rPr>
              <w:t>Delivery strategies for existing and improved vaccines (as a</w:t>
            </w:r>
            <w:r>
              <w:rPr>
                <w:sz w:val="18"/>
                <w:szCs w:val="18"/>
              </w:rPr>
              <w:t>lso stressed by ISPC, 2014</w:t>
            </w:r>
            <w:r w:rsidRPr="00CF29D5">
              <w:rPr>
                <w:sz w:val="18"/>
                <w:szCs w:val="18"/>
              </w:rPr>
              <w:t>), including partnership with the private sector, such as for ITM testing in Tanzania, PPR in Mali or implementation in the context of major re</w:t>
            </w:r>
            <w:r>
              <w:rPr>
                <w:sz w:val="18"/>
                <w:szCs w:val="18"/>
              </w:rPr>
              <w:t>search for development program</w:t>
            </w:r>
            <w:r w:rsidRPr="00CF29D5">
              <w:rPr>
                <w:sz w:val="18"/>
                <w:szCs w:val="18"/>
              </w:rPr>
              <w:t>s</w:t>
            </w:r>
            <w:r w:rsidR="001E171E">
              <w:rPr>
                <w:sz w:val="18"/>
                <w:szCs w:val="18"/>
              </w:rPr>
              <w:t xml:space="preserve"> (such as the </w:t>
            </w:r>
            <w:hyperlink r:id="rId9" w:history="1">
              <w:r w:rsidRPr="00F03DB8">
                <w:rPr>
                  <w:rStyle w:val="Hyperlink"/>
                  <w:sz w:val="18"/>
                  <w:szCs w:val="18"/>
                </w:rPr>
                <w:t>A</w:t>
              </w:r>
              <w:r w:rsidR="001E171E">
                <w:rPr>
                  <w:rStyle w:val="Hyperlink"/>
                  <w:sz w:val="18"/>
                  <w:szCs w:val="18"/>
                </w:rPr>
                <w:t>ccelerating Value Chains Development project</w:t>
              </w:r>
              <w:r w:rsidRPr="00F03DB8">
                <w:rPr>
                  <w:rStyle w:val="Hyperlink"/>
                  <w:sz w:val="18"/>
                  <w:szCs w:val="18"/>
                </w:rPr>
                <w:t xml:space="preserve"> </w:t>
              </w:r>
              <w:r w:rsidR="001E171E">
                <w:rPr>
                  <w:rStyle w:val="Hyperlink"/>
                  <w:sz w:val="18"/>
                  <w:szCs w:val="18"/>
                </w:rPr>
                <w:t xml:space="preserve">in </w:t>
              </w:r>
              <w:r w:rsidRPr="00F03DB8">
                <w:rPr>
                  <w:rStyle w:val="Hyperlink"/>
                  <w:sz w:val="18"/>
                  <w:szCs w:val="18"/>
                </w:rPr>
                <w:t>Kenya</w:t>
              </w:r>
            </w:hyperlink>
            <w:r w:rsidR="00F03DB8">
              <w:rPr>
                <w:sz w:val="18"/>
                <w:szCs w:val="18"/>
              </w:rPr>
              <w:t>)</w:t>
            </w:r>
            <w:r>
              <w:rPr>
                <w:sz w:val="18"/>
                <w:szCs w:val="18"/>
              </w:rPr>
              <w:t xml:space="preserve">.  The flagship, and indeed CRP focus on ensuring delivery approaches are inclusive for gender, and increasingly young people will also ensure robust delivery of solutions. </w:t>
            </w:r>
          </w:p>
          <w:p w14:paraId="78AF8B42" w14:textId="3C52E55B" w:rsidR="00F04D52" w:rsidRPr="00247B01" w:rsidRDefault="00F04D52" w:rsidP="00F04D52">
            <w:pPr>
              <w:pStyle w:val="ListParagraph"/>
              <w:numPr>
                <w:ilvl w:val="0"/>
                <w:numId w:val="8"/>
              </w:numPr>
              <w:rPr>
                <w:sz w:val="18"/>
                <w:szCs w:val="18"/>
              </w:rPr>
            </w:pPr>
            <w:r w:rsidRPr="00CF29D5">
              <w:rPr>
                <w:sz w:val="18"/>
                <w:szCs w:val="18"/>
              </w:rPr>
              <w:t>Solutions for herd health management that have been shown to be part of transforming the efficiency of animal agriculture (Capper</w:t>
            </w:r>
            <w:r>
              <w:rPr>
                <w:sz w:val="18"/>
                <w:szCs w:val="18"/>
              </w:rPr>
              <w:t xml:space="preserve"> </w:t>
            </w:r>
            <w:r w:rsidR="00464D98" w:rsidRPr="00464D98">
              <w:rPr>
                <w:i/>
                <w:sz w:val="18"/>
                <w:szCs w:val="18"/>
              </w:rPr>
              <w:t>et al.,</w:t>
            </w:r>
            <w:r>
              <w:rPr>
                <w:sz w:val="18"/>
                <w:szCs w:val="18"/>
              </w:rPr>
              <w:t xml:space="preserve"> 2009; Capper, 2011</w:t>
            </w:r>
            <w:r w:rsidRPr="00CF29D5">
              <w:rPr>
                <w:sz w:val="18"/>
                <w:szCs w:val="18"/>
              </w:rPr>
              <w:t>) and</w:t>
            </w:r>
            <w:r>
              <w:rPr>
                <w:sz w:val="18"/>
                <w:szCs w:val="18"/>
              </w:rPr>
              <w:t xml:space="preserve"> especially in the CRP focus systems and value chains will be </w:t>
            </w:r>
            <w:r w:rsidRPr="00CF29D5">
              <w:rPr>
                <w:sz w:val="18"/>
                <w:szCs w:val="18"/>
              </w:rPr>
              <w:t xml:space="preserve"> increasingly important </w:t>
            </w:r>
            <w:r>
              <w:rPr>
                <w:sz w:val="18"/>
                <w:szCs w:val="18"/>
              </w:rPr>
              <w:t xml:space="preserve">as part of the approach to </w:t>
            </w:r>
            <w:r w:rsidRPr="00CF29D5">
              <w:rPr>
                <w:sz w:val="18"/>
                <w:szCs w:val="18"/>
              </w:rPr>
              <w:t>mitigat</w:t>
            </w:r>
            <w:r>
              <w:rPr>
                <w:sz w:val="18"/>
                <w:szCs w:val="18"/>
              </w:rPr>
              <w:t>e against</w:t>
            </w:r>
            <w:r w:rsidRPr="00CF29D5">
              <w:rPr>
                <w:sz w:val="18"/>
                <w:szCs w:val="18"/>
              </w:rPr>
              <w:t xml:space="preserve"> the </w:t>
            </w:r>
            <w:r w:rsidRPr="00247B01">
              <w:rPr>
                <w:sz w:val="18"/>
                <w:szCs w:val="18"/>
              </w:rPr>
              <w:t>emergence of AMR.</w:t>
            </w:r>
          </w:p>
          <w:p w14:paraId="017E4A88" w14:textId="41FEC9C7" w:rsidR="00F04D52" w:rsidRPr="00247B01" w:rsidRDefault="00F04D52" w:rsidP="00F04D52">
            <w:pPr>
              <w:pStyle w:val="ListParagraph"/>
              <w:numPr>
                <w:ilvl w:val="0"/>
                <w:numId w:val="8"/>
              </w:numPr>
              <w:rPr>
                <w:sz w:val="18"/>
                <w:szCs w:val="18"/>
              </w:rPr>
            </w:pPr>
            <w:r w:rsidRPr="00247B01">
              <w:rPr>
                <w:sz w:val="18"/>
                <w:szCs w:val="18"/>
              </w:rPr>
              <w:lastRenderedPageBreak/>
              <w:t>In</w:t>
            </w:r>
            <w:r w:rsidR="0042440E" w:rsidRPr="00247B01">
              <w:rPr>
                <w:sz w:val="18"/>
                <w:szCs w:val="18"/>
              </w:rPr>
              <w:t>tegration</w:t>
            </w:r>
            <w:r w:rsidRPr="00247B01">
              <w:rPr>
                <w:sz w:val="18"/>
                <w:szCs w:val="18"/>
              </w:rPr>
              <w:t xml:space="preserve"> of vaccine solutions </w:t>
            </w:r>
            <w:r w:rsidR="0042440E" w:rsidRPr="00247B01">
              <w:rPr>
                <w:sz w:val="18"/>
                <w:szCs w:val="18"/>
              </w:rPr>
              <w:t>with those related to genetics and feeds as well as</w:t>
            </w:r>
            <w:r w:rsidRPr="00247B01">
              <w:rPr>
                <w:sz w:val="18"/>
                <w:szCs w:val="18"/>
              </w:rPr>
              <w:t xml:space="preserve"> livelihood, market and policy interventions to address broader livelihood, resilience and nutrition outcomes (</w:t>
            </w:r>
            <w:r w:rsidR="00F03DB8" w:rsidRPr="00247B01">
              <w:rPr>
                <w:sz w:val="18"/>
                <w:szCs w:val="18"/>
              </w:rPr>
              <w:t>in the LLAFS flagship</w:t>
            </w:r>
            <w:r w:rsidRPr="00247B01">
              <w:rPr>
                <w:sz w:val="18"/>
                <w:szCs w:val="18"/>
              </w:rPr>
              <w:t>).</w:t>
            </w:r>
          </w:p>
          <w:p w14:paraId="4D11AFE8" w14:textId="75D8722F" w:rsidR="0042440E" w:rsidRPr="00247B01" w:rsidRDefault="0042440E" w:rsidP="00F04D52">
            <w:pPr>
              <w:pStyle w:val="ListParagraph"/>
              <w:numPr>
                <w:ilvl w:val="0"/>
                <w:numId w:val="8"/>
              </w:numPr>
              <w:rPr>
                <w:sz w:val="18"/>
                <w:szCs w:val="18"/>
              </w:rPr>
            </w:pPr>
            <w:r w:rsidRPr="00247B01">
              <w:rPr>
                <w:sz w:val="18"/>
                <w:szCs w:val="18"/>
              </w:rPr>
              <w:t>Partnership management and monitoring (Annex</w:t>
            </w:r>
            <w:r w:rsidR="00C42299">
              <w:rPr>
                <w:sz w:val="18"/>
                <w:szCs w:val="18"/>
              </w:rPr>
              <w:t xml:space="preserve"> 3.1</w:t>
            </w:r>
            <w:r w:rsidRPr="00247B01">
              <w:rPr>
                <w:sz w:val="18"/>
                <w:szCs w:val="18"/>
              </w:rPr>
              <w:t xml:space="preserve">) as well as appropriate IP arrangements where the private sector is engaged will be integral for the success of delivery approaches. </w:t>
            </w:r>
          </w:p>
          <w:p w14:paraId="64FDF814" w14:textId="77777777" w:rsidR="00F04D52" w:rsidRDefault="00F04D52" w:rsidP="00F04D52">
            <w:pPr>
              <w:rPr>
                <w:sz w:val="18"/>
                <w:szCs w:val="18"/>
              </w:rPr>
            </w:pPr>
          </w:p>
          <w:p w14:paraId="7E230BB4" w14:textId="77777777" w:rsidR="00F04D52" w:rsidRDefault="00F04D52" w:rsidP="00F04D52">
            <w:pPr>
              <w:rPr>
                <w:sz w:val="18"/>
                <w:szCs w:val="18"/>
              </w:rPr>
            </w:pPr>
            <w:r w:rsidRPr="003828C4">
              <w:rPr>
                <w:sz w:val="18"/>
                <w:szCs w:val="18"/>
              </w:rPr>
              <w:t>References</w:t>
            </w:r>
          </w:p>
          <w:p w14:paraId="2184E809" w14:textId="77777777" w:rsidR="00F04D52" w:rsidRDefault="00F04D52" w:rsidP="00F04D52">
            <w:pPr>
              <w:rPr>
                <w:sz w:val="18"/>
                <w:szCs w:val="18"/>
              </w:rPr>
            </w:pPr>
          </w:p>
          <w:p w14:paraId="16BAD3D0" w14:textId="77777777" w:rsidR="00D32600" w:rsidRPr="00553B6A" w:rsidRDefault="00D32600" w:rsidP="00553B6A">
            <w:pPr>
              <w:pStyle w:val="ListParagraph"/>
              <w:numPr>
                <w:ilvl w:val="0"/>
                <w:numId w:val="44"/>
              </w:numPr>
              <w:autoSpaceDE w:val="0"/>
              <w:autoSpaceDN w:val="0"/>
              <w:rPr>
                <w:sz w:val="18"/>
                <w:szCs w:val="18"/>
              </w:rPr>
            </w:pPr>
            <w:r w:rsidRPr="00553B6A">
              <w:rPr>
                <w:sz w:val="18"/>
                <w:szCs w:val="18"/>
              </w:rPr>
              <w:t xml:space="preserve">Capper, J. L. 2011. The environmental impact of beef production in the United States: 1977 compared with 2007. </w:t>
            </w:r>
            <w:r w:rsidRPr="00553B6A">
              <w:rPr>
                <w:i/>
                <w:sz w:val="18"/>
                <w:szCs w:val="18"/>
              </w:rPr>
              <w:t>Journal of Animal Science</w:t>
            </w:r>
            <w:r w:rsidRPr="00553B6A">
              <w:rPr>
                <w:sz w:val="18"/>
                <w:szCs w:val="18"/>
              </w:rPr>
              <w:t xml:space="preserve"> 89(12):4249-4261.</w:t>
            </w:r>
          </w:p>
          <w:p w14:paraId="2F920AB0" w14:textId="77777777" w:rsidR="00D32600" w:rsidRPr="00553B6A" w:rsidRDefault="00D32600" w:rsidP="00553B6A">
            <w:pPr>
              <w:pStyle w:val="ListParagraph"/>
              <w:numPr>
                <w:ilvl w:val="0"/>
                <w:numId w:val="44"/>
              </w:numPr>
              <w:rPr>
                <w:sz w:val="18"/>
                <w:szCs w:val="18"/>
              </w:rPr>
            </w:pPr>
            <w:r w:rsidRPr="00553B6A">
              <w:rPr>
                <w:sz w:val="18"/>
                <w:szCs w:val="18"/>
              </w:rPr>
              <w:t xml:space="preserve">Capper, J. L., R. A. Cady, and D. E. Bauman. 2009. The environmental impact of dairy production: 1944 compared with 2007. </w:t>
            </w:r>
            <w:r w:rsidRPr="00553B6A">
              <w:rPr>
                <w:i/>
                <w:sz w:val="18"/>
                <w:szCs w:val="18"/>
              </w:rPr>
              <w:t>Journal of Animal Science</w:t>
            </w:r>
            <w:r w:rsidRPr="00553B6A">
              <w:rPr>
                <w:sz w:val="18"/>
                <w:szCs w:val="18"/>
              </w:rPr>
              <w:t xml:space="preserve"> 87(6):2160-2167.</w:t>
            </w:r>
          </w:p>
          <w:p w14:paraId="51166F33" w14:textId="0C18F934" w:rsidR="00F04D52" w:rsidRPr="00553B6A" w:rsidRDefault="00F04D52" w:rsidP="00553B6A">
            <w:pPr>
              <w:pStyle w:val="ListParagraph"/>
              <w:numPr>
                <w:ilvl w:val="0"/>
                <w:numId w:val="44"/>
              </w:numPr>
              <w:rPr>
                <w:sz w:val="18"/>
                <w:szCs w:val="18"/>
              </w:rPr>
            </w:pPr>
            <w:proofErr w:type="spellStart"/>
            <w:r w:rsidRPr="00553B6A">
              <w:rPr>
                <w:sz w:val="18"/>
                <w:szCs w:val="18"/>
              </w:rPr>
              <w:t>Doceul</w:t>
            </w:r>
            <w:proofErr w:type="spellEnd"/>
            <w:r w:rsidRPr="00553B6A">
              <w:rPr>
                <w:sz w:val="18"/>
                <w:szCs w:val="18"/>
              </w:rPr>
              <w:t>,</w:t>
            </w:r>
            <w:r w:rsidR="00553B6A" w:rsidRPr="00553B6A">
              <w:rPr>
                <w:sz w:val="18"/>
                <w:szCs w:val="18"/>
              </w:rPr>
              <w:t xml:space="preserve"> V.,</w:t>
            </w:r>
            <w:r w:rsidRPr="00553B6A">
              <w:rPr>
                <w:sz w:val="18"/>
                <w:szCs w:val="18"/>
              </w:rPr>
              <w:t xml:space="preserve"> Lara,</w:t>
            </w:r>
            <w:r w:rsidR="00553B6A" w:rsidRPr="00553B6A">
              <w:rPr>
                <w:sz w:val="18"/>
                <w:szCs w:val="18"/>
              </w:rPr>
              <w:t xml:space="preserve"> E., </w:t>
            </w:r>
            <w:proofErr w:type="spellStart"/>
            <w:r w:rsidRPr="00553B6A">
              <w:rPr>
                <w:sz w:val="18"/>
                <w:szCs w:val="18"/>
              </w:rPr>
              <w:t>Sailleau</w:t>
            </w:r>
            <w:proofErr w:type="spellEnd"/>
            <w:r w:rsidRPr="00553B6A">
              <w:rPr>
                <w:sz w:val="18"/>
                <w:szCs w:val="18"/>
              </w:rPr>
              <w:t>,</w:t>
            </w:r>
            <w:r w:rsidR="00553B6A" w:rsidRPr="00553B6A">
              <w:rPr>
                <w:sz w:val="18"/>
                <w:szCs w:val="18"/>
              </w:rPr>
              <w:t xml:space="preserve"> C., </w:t>
            </w:r>
            <w:r w:rsidRPr="00553B6A">
              <w:rPr>
                <w:sz w:val="18"/>
                <w:szCs w:val="18"/>
              </w:rPr>
              <w:t xml:space="preserve"> </w:t>
            </w:r>
            <w:proofErr w:type="spellStart"/>
            <w:r w:rsidRPr="00553B6A">
              <w:rPr>
                <w:sz w:val="18"/>
                <w:szCs w:val="18"/>
              </w:rPr>
              <w:t>Belbis</w:t>
            </w:r>
            <w:proofErr w:type="spellEnd"/>
            <w:r w:rsidRPr="00553B6A">
              <w:rPr>
                <w:sz w:val="18"/>
                <w:szCs w:val="18"/>
              </w:rPr>
              <w:t>,</w:t>
            </w:r>
            <w:r w:rsidR="00553B6A" w:rsidRPr="00553B6A">
              <w:rPr>
                <w:sz w:val="18"/>
                <w:szCs w:val="18"/>
              </w:rPr>
              <w:t xml:space="preserve"> G., </w:t>
            </w:r>
            <w:r w:rsidRPr="00553B6A">
              <w:rPr>
                <w:sz w:val="18"/>
                <w:szCs w:val="18"/>
              </w:rPr>
              <w:t>Richardson,</w:t>
            </w:r>
            <w:r w:rsidR="00553B6A" w:rsidRPr="00553B6A">
              <w:rPr>
                <w:sz w:val="18"/>
                <w:szCs w:val="18"/>
              </w:rPr>
              <w:t xml:space="preserve"> J., </w:t>
            </w:r>
            <w:proofErr w:type="spellStart"/>
            <w:r w:rsidRPr="00553B6A">
              <w:rPr>
                <w:sz w:val="18"/>
                <w:szCs w:val="18"/>
              </w:rPr>
              <w:t>Bréard</w:t>
            </w:r>
            <w:proofErr w:type="spellEnd"/>
            <w:r w:rsidRPr="00553B6A">
              <w:rPr>
                <w:sz w:val="18"/>
                <w:szCs w:val="18"/>
              </w:rPr>
              <w:t xml:space="preserve">, </w:t>
            </w:r>
            <w:r w:rsidR="00553B6A" w:rsidRPr="00553B6A">
              <w:rPr>
                <w:sz w:val="18"/>
                <w:szCs w:val="18"/>
              </w:rPr>
              <w:t xml:space="preserve">E., </w:t>
            </w:r>
            <w:proofErr w:type="spellStart"/>
            <w:r w:rsidRPr="00553B6A">
              <w:rPr>
                <w:sz w:val="18"/>
                <w:szCs w:val="18"/>
              </w:rPr>
              <w:t>Viarouge</w:t>
            </w:r>
            <w:proofErr w:type="spellEnd"/>
            <w:r w:rsidRPr="00553B6A">
              <w:rPr>
                <w:sz w:val="18"/>
                <w:szCs w:val="18"/>
              </w:rPr>
              <w:t>,</w:t>
            </w:r>
            <w:r w:rsidR="00553B6A" w:rsidRPr="00553B6A">
              <w:rPr>
                <w:sz w:val="18"/>
                <w:szCs w:val="18"/>
              </w:rPr>
              <w:t xml:space="preserve"> C., </w:t>
            </w:r>
            <w:r w:rsidRPr="00553B6A">
              <w:rPr>
                <w:sz w:val="18"/>
                <w:szCs w:val="18"/>
              </w:rPr>
              <w:t xml:space="preserve">Dominguez, </w:t>
            </w:r>
            <w:r w:rsidR="00553B6A" w:rsidRPr="00553B6A">
              <w:rPr>
                <w:sz w:val="18"/>
                <w:szCs w:val="18"/>
              </w:rPr>
              <w:t xml:space="preserve">M., </w:t>
            </w:r>
            <w:proofErr w:type="spellStart"/>
            <w:r w:rsidRPr="00553B6A">
              <w:rPr>
                <w:sz w:val="18"/>
                <w:szCs w:val="18"/>
              </w:rPr>
              <w:t>Hendrikx</w:t>
            </w:r>
            <w:proofErr w:type="spellEnd"/>
            <w:r w:rsidRPr="00553B6A">
              <w:rPr>
                <w:sz w:val="18"/>
                <w:szCs w:val="18"/>
              </w:rPr>
              <w:t>,</w:t>
            </w:r>
            <w:r w:rsidR="00553B6A" w:rsidRPr="00553B6A">
              <w:rPr>
                <w:sz w:val="18"/>
                <w:szCs w:val="18"/>
              </w:rPr>
              <w:t xml:space="preserve"> P.,  </w:t>
            </w:r>
            <w:proofErr w:type="spellStart"/>
            <w:r w:rsidRPr="00553B6A">
              <w:rPr>
                <w:sz w:val="18"/>
                <w:szCs w:val="18"/>
              </w:rPr>
              <w:t>Calavas</w:t>
            </w:r>
            <w:proofErr w:type="spellEnd"/>
            <w:r w:rsidRPr="00553B6A">
              <w:rPr>
                <w:sz w:val="18"/>
                <w:szCs w:val="18"/>
              </w:rPr>
              <w:t>,</w:t>
            </w:r>
            <w:r w:rsidR="00553B6A" w:rsidRPr="00553B6A">
              <w:rPr>
                <w:sz w:val="18"/>
                <w:szCs w:val="18"/>
              </w:rPr>
              <w:t xml:space="preserve"> D.,  </w:t>
            </w:r>
            <w:proofErr w:type="spellStart"/>
            <w:r w:rsidR="00553B6A" w:rsidRPr="00553B6A">
              <w:rPr>
                <w:sz w:val="18"/>
                <w:szCs w:val="18"/>
              </w:rPr>
              <w:t>Desprat</w:t>
            </w:r>
            <w:proofErr w:type="spellEnd"/>
            <w:r w:rsidR="00553B6A" w:rsidRPr="00553B6A">
              <w:rPr>
                <w:sz w:val="18"/>
                <w:szCs w:val="18"/>
              </w:rPr>
              <w:t xml:space="preserve">, A., </w:t>
            </w:r>
            <w:proofErr w:type="spellStart"/>
            <w:r w:rsidRPr="00553B6A">
              <w:rPr>
                <w:sz w:val="18"/>
                <w:szCs w:val="18"/>
              </w:rPr>
              <w:t>La</w:t>
            </w:r>
            <w:r w:rsidR="00553B6A" w:rsidRPr="00553B6A">
              <w:rPr>
                <w:sz w:val="18"/>
                <w:szCs w:val="18"/>
              </w:rPr>
              <w:t>nguille</w:t>
            </w:r>
            <w:proofErr w:type="spellEnd"/>
            <w:r w:rsidR="00553B6A" w:rsidRPr="00553B6A">
              <w:rPr>
                <w:sz w:val="18"/>
                <w:szCs w:val="18"/>
              </w:rPr>
              <w:t xml:space="preserve">, J.,  </w:t>
            </w:r>
            <w:proofErr w:type="spellStart"/>
            <w:r w:rsidR="00553B6A" w:rsidRPr="00553B6A">
              <w:rPr>
                <w:sz w:val="18"/>
                <w:szCs w:val="18"/>
              </w:rPr>
              <w:t>Comtet</w:t>
            </w:r>
            <w:proofErr w:type="spellEnd"/>
            <w:r w:rsidR="00553B6A" w:rsidRPr="00553B6A">
              <w:rPr>
                <w:sz w:val="18"/>
                <w:szCs w:val="18"/>
              </w:rPr>
              <w:t xml:space="preserve">, L., </w:t>
            </w:r>
            <w:proofErr w:type="spellStart"/>
            <w:r w:rsidR="00553B6A" w:rsidRPr="00553B6A">
              <w:rPr>
                <w:sz w:val="18"/>
                <w:szCs w:val="18"/>
              </w:rPr>
              <w:t>Pourquier</w:t>
            </w:r>
            <w:proofErr w:type="spellEnd"/>
            <w:r w:rsidR="00553B6A" w:rsidRPr="00553B6A">
              <w:rPr>
                <w:sz w:val="18"/>
                <w:szCs w:val="18"/>
              </w:rPr>
              <w:t xml:space="preserve">, P., </w:t>
            </w:r>
            <w:proofErr w:type="spellStart"/>
            <w:r w:rsidRPr="00553B6A">
              <w:rPr>
                <w:sz w:val="18"/>
                <w:szCs w:val="18"/>
              </w:rPr>
              <w:t>Eléouët</w:t>
            </w:r>
            <w:proofErr w:type="spellEnd"/>
            <w:r w:rsidRPr="00553B6A">
              <w:rPr>
                <w:sz w:val="18"/>
                <w:szCs w:val="18"/>
              </w:rPr>
              <w:t xml:space="preserve">, </w:t>
            </w:r>
            <w:r w:rsidR="00553B6A" w:rsidRPr="00553B6A">
              <w:rPr>
                <w:sz w:val="18"/>
                <w:szCs w:val="18"/>
              </w:rPr>
              <w:t xml:space="preserve">J.F., </w:t>
            </w:r>
            <w:proofErr w:type="spellStart"/>
            <w:r w:rsidRPr="00553B6A">
              <w:rPr>
                <w:sz w:val="18"/>
                <w:szCs w:val="18"/>
              </w:rPr>
              <w:t>Delmas</w:t>
            </w:r>
            <w:proofErr w:type="spellEnd"/>
            <w:r w:rsidRPr="00553B6A">
              <w:rPr>
                <w:sz w:val="18"/>
                <w:szCs w:val="18"/>
              </w:rPr>
              <w:t xml:space="preserve">, </w:t>
            </w:r>
            <w:r w:rsidR="00553B6A" w:rsidRPr="00553B6A">
              <w:rPr>
                <w:sz w:val="18"/>
                <w:szCs w:val="18"/>
              </w:rPr>
              <w:t xml:space="preserve">B., </w:t>
            </w:r>
            <w:proofErr w:type="spellStart"/>
            <w:r w:rsidRPr="00553B6A">
              <w:rPr>
                <w:sz w:val="18"/>
                <w:szCs w:val="18"/>
              </w:rPr>
              <w:t>Marianneau</w:t>
            </w:r>
            <w:proofErr w:type="spellEnd"/>
            <w:r w:rsidRPr="00553B6A">
              <w:rPr>
                <w:sz w:val="18"/>
                <w:szCs w:val="18"/>
              </w:rPr>
              <w:t xml:space="preserve">, </w:t>
            </w:r>
            <w:r w:rsidR="00553B6A" w:rsidRPr="00553B6A">
              <w:rPr>
                <w:sz w:val="18"/>
                <w:szCs w:val="18"/>
              </w:rPr>
              <w:t xml:space="preserve">P., </w:t>
            </w:r>
            <w:proofErr w:type="spellStart"/>
            <w:r w:rsidRPr="00553B6A">
              <w:rPr>
                <w:sz w:val="18"/>
                <w:szCs w:val="18"/>
              </w:rPr>
              <w:t>Vitour</w:t>
            </w:r>
            <w:proofErr w:type="spellEnd"/>
            <w:r w:rsidRPr="00553B6A">
              <w:rPr>
                <w:sz w:val="18"/>
                <w:szCs w:val="18"/>
              </w:rPr>
              <w:t>,</w:t>
            </w:r>
            <w:r w:rsidR="00553B6A" w:rsidRPr="00553B6A">
              <w:rPr>
                <w:sz w:val="18"/>
                <w:szCs w:val="18"/>
              </w:rPr>
              <w:t xml:space="preserve"> D., and </w:t>
            </w:r>
            <w:proofErr w:type="spellStart"/>
            <w:r w:rsidRPr="00553B6A">
              <w:rPr>
                <w:sz w:val="18"/>
                <w:szCs w:val="18"/>
              </w:rPr>
              <w:t>Zientara</w:t>
            </w:r>
            <w:proofErr w:type="spellEnd"/>
            <w:r w:rsidR="00553B6A" w:rsidRPr="00553B6A">
              <w:rPr>
                <w:sz w:val="18"/>
                <w:szCs w:val="18"/>
              </w:rPr>
              <w:t>, S</w:t>
            </w:r>
            <w:r w:rsidRPr="00553B6A">
              <w:rPr>
                <w:sz w:val="18"/>
                <w:szCs w:val="18"/>
              </w:rPr>
              <w:t xml:space="preserve">. </w:t>
            </w:r>
            <w:r w:rsidR="00D32600" w:rsidRPr="00553B6A">
              <w:rPr>
                <w:sz w:val="18"/>
                <w:szCs w:val="18"/>
              </w:rPr>
              <w:t xml:space="preserve">2013. </w:t>
            </w:r>
            <w:r w:rsidRPr="00553B6A">
              <w:rPr>
                <w:sz w:val="18"/>
                <w:szCs w:val="18"/>
              </w:rPr>
              <w:t xml:space="preserve">Epidemiology, molecular virology and diagnostics of </w:t>
            </w:r>
            <w:proofErr w:type="spellStart"/>
            <w:r w:rsidRPr="00553B6A">
              <w:rPr>
                <w:sz w:val="18"/>
                <w:szCs w:val="18"/>
              </w:rPr>
              <w:t>Schmallenberg</w:t>
            </w:r>
            <w:proofErr w:type="spellEnd"/>
            <w:r w:rsidRPr="00553B6A">
              <w:rPr>
                <w:sz w:val="18"/>
                <w:szCs w:val="18"/>
              </w:rPr>
              <w:t xml:space="preserve"> virus, an emerging </w:t>
            </w:r>
            <w:proofErr w:type="spellStart"/>
            <w:r w:rsidRPr="00553B6A">
              <w:rPr>
                <w:sz w:val="18"/>
                <w:szCs w:val="18"/>
              </w:rPr>
              <w:t>orthobunyavirus</w:t>
            </w:r>
            <w:proofErr w:type="spellEnd"/>
            <w:r w:rsidRPr="00553B6A">
              <w:rPr>
                <w:sz w:val="18"/>
                <w:szCs w:val="18"/>
              </w:rPr>
              <w:t xml:space="preserve"> in Europe</w:t>
            </w:r>
            <w:r w:rsidR="00553B6A" w:rsidRPr="00553B6A">
              <w:rPr>
                <w:sz w:val="18"/>
                <w:szCs w:val="18"/>
              </w:rPr>
              <w:t xml:space="preserve">. </w:t>
            </w:r>
            <w:r w:rsidR="00D32600" w:rsidRPr="00553B6A">
              <w:rPr>
                <w:i/>
                <w:sz w:val="18"/>
                <w:szCs w:val="18"/>
              </w:rPr>
              <w:t>Vet Res</w:t>
            </w:r>
            <w:r w:rsidR="00D32600" w:rsidRPr="00553B6A">
              <w:rPr>
                <w:sz w:val="18"/>
                <w:szCs w:val="18"/>
              </w:rPr>
              <w:t xml:space="preserve">. </w:t>
            </w:r>
            <w:r w:rsidRPr="00553B6A">
              <w:rPr>
                <w:sz w:val="18"/>
                <w:szCs w:val="18"/>
              </w:rPr>
              <w:t xml:space="preserve">44(1): 31. </w:t>
            </w:r>
          </w:p>
          <w:p w14:paraId="06C93034" w14:textId="77777777" w:rsidR="00553B6A" w:rsidRPr="00553B6A" w:rsidRDefault="00553B6A" w:rsidP="00553B6A">
            <w:pPr>
              <w:pStyle w:val="ListParagraph"/>
              <w:numPr>
                <w:ilvl w:val="0"/>
                <w:numId w:val="44"/>
              </w:numPr>
              <w:rPr>
                <w:sz w:val="18"/>
                <w:szCs w:val="18"/>
              </w:rPr>
            </w:pPr>
            <w:r w:rsidRPr="00553B6A">
              <w:rPr>
                <w:sz w:val="18"/>
                <w:szCs w:val="18"/>
              </w:rPr>
              <w:t>ISPC. 2014. Strategic review of livestock in the CGIAR (including ISPC synthesis and commentary). Rome: CGIAR Independent Science and Partnership Council.</w:t>
            </w:r>
          </w:p>
          <w:p w14:paraId="4E291AD0" w14:textId="77777777" w:rsidR="00553B6A" w:rsidRPr="00553B6A" w:rsidRDefault="00553B6A" w:rsidP="00553B6A">
            <w:pPr>
              <w:pStyle w:val="ListParagraph"/>
              <w:numPr>
                <w:ilvl w:val="0"/>
                <w:numId w:val="44"/>
              </w:numPr>
              <w:rPr>
                <w:sz w:val="18"/>
                <w:szCs w:val="18"/>
              </w:rPr>
            </w:pPr>
            <w:r w:rsidRPr="00553B6A">
              <w:rPr>
                <w:sz w:val="18"/>
                <w:szCs w:val="18"/>
              </w:rPr>
              <w:t xml:space="preserve">Mariner, J. C., House, J. A., </w:t>
            </w:r>
            <w:proofErr w:type="spellStart"/>
            <w:r w:rsidRPr="00553B6A">
              <w:rPr>
                <w:sz w:val="18"/>
                <w:szCs w:val="18"/>
              </w:rPr>
              <w:t>Mebus</w:t>
            </w:r>
            <w:proofErr w:type="spellEnd"/>
            <w:r w:rsidRPr="00553B6A">
              <w:rPr>
                <w:sz w:val="18"/>
                <w:szCs w:val="18"/>
              </w:rPr>
              <w:t xml:space="preserve">, C. A., </w:t>
            </w:r>
            <w:proofErr w:type="spellStart"/>
            <w:r w:rsidRPr="00553B6A">
              <w:rPr>
                <w:sz w:val="18"/>
                <w:szCs w:val="18"/>
              </w:rPr>
              <w:t>Sollod</w:t>
            </w:r>
            <w:proofErr w:type="spellEnd"/>
            <w:r w:rsidRPr="00553B6A">
              <w:rPr>
                <w:sz w:val="18"/>
                <w:szCs w:val="18"/>
              </w:rPr>
              <w:t xml:space="preserve">, A. E., </w:t>
            </w:r>
            <w:proofErr w:type="spellStart"/>
            <w:r w:rsidRPr="00553B6A">
              <w:rPr>
                <w:sz w:val="18"/>
                <w:szCs w:val="18"/>
              </w:rPr>
              <w:t>Chibeu</w:t>
            </w:r>
            <w:proofErr w:type="spellEnd"/>
            <w:r w:rsidRPr="00553B6A">
              <w:rPr>
                <w:sz w:val="18"/>
                <w:szCs w:val="18"/>
              </w:rPr>
              <w:t xml:space="preserve">, D., Jones, B. A., Roeder, P. L., Admassu, B., </w:t>
            </w:r>
            <w:proofErr w:type="gramStart"/>
            <w:r w:rsidRPr="00553B6A">
              <w:rPr>
                <w:sz w:val="18"/>
                <w:szCs w:val="18"/>
              </w:rPr>
              <w:t>van 't</w:t>
            </w:r>
            <w:proofErr w:type="gramEnd"/>
            <w:r w:rsidRPr="00553B6A">
              <w:rPr>
                <w:sz w:val="18"/>
                <w:szCs w:val="18"/>
              </w:rPr>
              <w:t xml:space="preserve"> </w:t>
            </w:r>
            <w:proofErr w:type="spellStart"/>
            <w:r w:rsidRPr="00553B6A">
              <w:rPr>
                <w:sz w:val="18"/>
                <w:szCs w:val="18"/>
              </w:rPr>
              <w:t>Klooster</w:t>
            </w:r>
            <w:proofErr w:type="spellEnd"/>
            <w:r w:rsidRPr="00553B6A">
              <w:rPr>
                <w:sz w:val="18"/>
                <w:szCs w:val="18"/>
              </w:rPr>
              <w:t xml:space="preserve">, G. G. 2012. Rinderpest eradication: appropriate technology and social innovations. </w:t>
            </w:r>
            <w:r w:rsidRPr="00553B6A">
              <w:rPr>
                <w:i/>
                <w:sz w:val="18"/>
                <w:szCs w:val="18"/>
              </w:rPr>
              <w:t>Science</w:t>
            </w:r>
            <w:r w:rsidRPr="00553B6A">
              <w:rPr>
                <w:sz w:val="18"/>
                <w:szCs w:val="18"/>
              </w:rPr>
              <w:t xml:space="preserve"> 337: 1309-12.</w:t>
            </w:r>
          </w:p>
          <w:p w14:paraId="1D055D0E" w14:textId="77777777" w:rsidR="00553B6A" w:rsidRPr="00553B6A" w:rsidRDefault="00553B6A" w:rsidP="00553B6A">
            <w:pPr>
              <w:pStyle w:val="ListParagraph"/>
              <w:numPr>
                <w:ilvl w:val="0"/>
                <w:numId w:val="44"/>
              </w:numPr>
              <w:rPr>
                <w:sz w:val="18"/>
                <w:szCs w:val="18"/>
              </w:rPr>
            </w:pPr>
            <w:proofErr w:type="spellStart"/>
            <w:r w:rsidRPr="00553B6A">
              <w:rPr>
                <w:sz w:val="18"/>
                <w:szCs w:val="18"/>
              </w:rPr>
              <w:t>Nakaya</w:t>
            </w:r>
            <w:proofErr w:type="spellEnd"/>
            <w:r w:rsidRPr="00553B6A">
              <w:rPr>
                <w:sz w:val="18"/>
                <w:szCs w:val="18"/>
              </w:rPr>
              <w:t xml:space="preserve">, H. I. and </w:t>
            </w:r>
            <w:proofErr w:type="spellStart"/>
            <w:r w:rsidRPr="00553B6A">
              <w:rPr>
                <w:sz w:val="18"/>
                <w:szCs w:val="18"/>
              </w:rPr>
              <w:t>Pulendran</w:t>
            </w:r>
            <w:proofErr w:type="spellEnd"/>
            <w:r w:rsidRPr="00553B6A">
              <w:rPr>
                <w:sz w:val="18"/>
                <w:szCs w:val="18"/>
              </w:rPr>
              <w:t xml:space="preserve">, B., 2015. Vaccinology in the era of high-throughput biology. </w:t>
            </w:r>
            <w:proofErr w:type="spellStart"/>
            <w:r w:rsidRPr="00553B6A">
              <w:rPr>
                <w:sz w:val="18"/>
                <w:szCs w:val="18"/>
              </w:rPr>
              <w:t>Philos</w:t>
            </w:r>
            <w:proofErr w:type="spellEnd"/>
            <w:r w:rsidRPr="00553B6A">
              <w:rPr>
                <w:sz w:val="18"/>
                <w:szCs w:val="18"/>
              </w:rPr>
              <w:t xml:space="preserve"> Trans R </w:t>
            </w:r>
            <w:proofErr w:type="spellStart"/>
            <w:r w:rsidRPr="00553B6A">
              <w:rPr>
                <w:sz w:val="18"/>
                <w:szCs w:val="18"/>
              </w:rPr>
              <w:t>Soc</w:t>
            </w:r>
            <w:proofErr w:type="spellEnd"/>
            <w:r w:rsidRPr="00553B6A">
              <w:rPr>
                <w:sz w:val="18"/>
                <w:szCs w:val="18"/>
              </w:rPr>
              <w:t xml:space="preserve"> </w:t>
            </w:r>
            <w:proofErr w:type="spellStart"/>
            <w:r w:rsidRPr="00553B6A">
              <w:rPr>
                <w:sz w:val="18"/>
                <w:szCs w:val="18"/>
              </w:rPr>
              <w:t>Lond</w:t>
            </w:r>
            <w:proofErr w:type="spellEnd"/>
            <w:r w:rsidRPr="00553B6A">
              <w:rPr>
                <w:sz w:val="18"/>
                <w:szCs w:val="18"/>
              </w:rPr>
              <w:t xml:space="preserve"> B </w:t>
            </w:r>
            <w:proofErr w:type="spellStart"/>
            <w:r w:rsidRPr="00553B6A">
              <w:rPr>
                <w:sz w:val="18"/>
                <w:szCs w:val="18"/>
              </w:rPr>
              <w:t>Biol</w:t>
            </w:r>
            <w:proofErr w:type="spellEnd"/>
            <w:r w:rsidRPr="00553B6A">
              <w:rPr>
                <w:sz w:val="18"/>
                <w:szCs w:val="18"/>
              </w:rPr>
              <w:t xml:space="preserve"> Sci. 370, pp1671.</w:t>
            </w:r>
          </w:p>
          <w:p w14:paraId="3CC1C5D5" w14:textId="5FA81951" w:rsidR="00F04D52" w:rsidRPr="00514A00" w:rsidRDefault="00553B6A" w:rsidP="00553B6A">
            <w:pPr>
              <w:pStyle w:val="ancestors"/>
              <w:numPr>
                <w:ilvl w:val="0"/>
                <w:numId w:val="44"/>
              </w:numPr>
              <w:spacing w:before="0" w:beforeAutospacing="0" w:after="0" w:afterAutospacing="0"/>
              <w:rPr>
                <w:sz w:val="18"/>
                <w:szCs w:val="18"/>
              </w:rPr>
            </w:pPr>
            <w:proofErr w:type="spellStart"/>
            <w:r w:rsidRPr="00553B6A">
              <w:rPr>
                <w:rFonts w:asciiTheme="minorHAnsi" w:hAnsiTheme="minorHAnsi"/>
                <w:sz w:val="18"/>
                <w:szCs w:val="18"/>
              </w:rPr>
              <w:t>Savini</w:t>
            </w:r>
            <w:proofErr w:type="spellEnd"/>
            <w:r w:rsidRPr="00553B6A">
              <w:rPr>
                <w:rFonts w:asciiTheme="minorHAnsi" w:hAnsiTheme="minorHAnsi"/>
                <w:sz w:val="18"/>
                <w:szCs w:val="18"/>
              </w:rPr>
              <w:t xml:space="preserve">, G., </w:t>
            </w:r>
            <w:proofErr w:type="spellStart"/>
            <w:r w:rsidRPr="00553B6A">
              <w:rPr>
                <w:rFonts w:asciiTheme="minorHAnsi" w:hAnsiTheme="minorHAnsi"/>
                <w:sz w:val="18"/>
                <w:szCs w:val="18"/>
              </w:rPr>
              <w:t>MacLachlan</w:t>
            </w:r>
            <w:proofErr w:type="spellEnd"/>
            <w:r w:rsidRPr="00553B6A">
              <w:rPr>
                <w:rFonts w:asciiTheme="minorHAnsi" w:hAnsiTheme="minorHAnsi"/>
                <w:sz w:val="18"/>
                <w:szCs w:val="18"/>
              </w:rPr>
              <w:t xml:space="preserve">, N.J. Sánchez-Vizcaino, J.M., and </w:t>
            </w:r>
            <w:proofErr w:type="spellStart"/>
            <w:r w:rsidRPr="00553B6A">
              <w:rPr>
                <w:rFonts w:asciiTheme="minorHAnsi" w:hAnsiTheme="minorHAnsi"/>
                <w:sz w:val="18"/>
                <w:szCs w:val="18"/>
              </w:rPr>
              <w:t>Zientara</w:t>
            </w:r>
            <w:proofErr w:type="spellEnd"/>
            <w:r w:rsidRPr="00553B6A">
              <w:rPr>
                <w:rFonts w:asciiTheme="minorHAnsi" w:hAnsiTheme="minorHAnsi"/>
                <w:sz w:val="18"/>
                <w:szCs w:val="18"/>
              </w:rPr>
              <w:t>, S</w:t>
            </w:r>
            <w:r>
              <w:rPr>
                <w:rFonts w:asciiTheme="minorHAnsi" w:hAnsiTheme="minorHAnsi"/>
                <w:sz w:val="18"/>
                <w:szCs w:val="18"/>
              </w:rPr>
              <w:t>.</w:t>
            </w:r>
            <w:r w:rsidR="00F04D52" w:rsidRPr="00D32600">
              <w:rPr>
                <w:rFonts w:asciiTheme="minorHAnsi" w:hAnsiTheme="minorHAnsi"/>
                <w:sz w:val="18"/>
                <w:szCs w:val="18"/>
              </w:rPr>
              <w:t xml:space="preserve"> 2008</w:t>
            </w:r>
            <w:r w:rsidR="00D32600" w:rsidRPr="00D32600">
              <w:rPr>
                <w:rFonts w:asciiTheme="minorHAnsi" w:hAnsiTheme="minorHAnsi"/>
                <w:sz w:val="18"/>
                <w:szCs w:val="18"/>
              </w:rPr>
              <w:t xml:space="preserve">. </w:t>
            </w:r>
            <w:r w:rsidR="00D32600" w:rsidRPr="00D32600">
              <w:rPr>
                <w:rStyle w:val="tab-pane"/>
                <w:rFonts w:asciiTheme="minorHAnsi" w:hAnsiTheme="minorHAnsi"/>
                <w:sz w:val="18"/>
                <w:szCs w:val="18"/>
              </w:rPr>
              <w:t xml:space="preserve">Vaccines against bluetongue in Europe. </w:t>
            </w:r>
            <w:r w:rsidR="00D32600" w:rsidRPr="002E04DF">
              <w:rPr>
                <w:rFonts w:asciiTheme="minorHAnsi" w:hAnsiTheme="minorHAnsi"/>
                <w:i/>
                <w:sz w:val="18"/>
                <w:szCs w:val="18"/>
              </w:rPr>
              <w:t>Comparative Immunology, Microbiology and Infectious Diseases</w:t>
            </w:r>
            <w:r w:rsidR="00D32600" w:rsidRPr="00D32600">
              <w:rPr>
                <w:rFonts w:asciiTheme="minorHAnsi" w:hAnsiTheme="minorHAnsi"/>
                <w:sz w:val="18"/>
                <w:szCs w:val="18"/>
              </w:rPr>
              <w:t xml:space="preserve"> 31(2-3): 101-120.</w:t>
            </w:r>
          </w:p>
        </w:tc>
        <w:tc>
          <w:tcPr>
            <w:tcW w:w="1001" w:type="pct"/>
          </w:tcPr>
          <w:p w14:paraId="19D21617" w14:textId="77777777" w:rsidR="00EF1C50" w:rsidRDefault="00EF1C50" w:rsidP="00EF1C50">
            <w:pPr>
              <w:rPr>
                <w:sz w:val="18"/>
                <w:szCs w:val="18"/>
              </w:rPr>
            </w:pPr>
            <w:r>
              <w:rPr>
                <w:sz w:val="18"/>
                <w:szCs w:val="18"/>
              </w:rPr>
              <w:lastRenderedPageBreak/>
              <w:t>The flagship narrative has been updated as follows:</w:t>
            </w:r>
          </w:p>
          <w:p w14:paraId="15B30189" w14:textId="77777777" w:rsidR="00F04D52" w:rsidRPr="008326B2" w:rsidRDefault="00F04D52" w:rsidP="00F04D52">
            <w:pPr>
              <w:rPr>
                <w:sz w:val="18"/>
                <w:szCs w:val="18"/>
              </w:rPr>
            </w:pPr>
          </w:p>
          <w:p w14:paraId="0F4E97CD" w14:textId="2FD3261E" w:rsidR="00F04D52" w:rsidRDefault="00F04D52" w:rsidP="00F04D52">
            <w:pPr>
              <w:rPr>
                <w:sz w:val="18"/>
                <w:szCs w:val="18"/>
                <w:lang w:val="fr-FR"/>
              </w:rPr>
            </w:pPr>
            <w:r w:rsidRPr="0048128E">
              <w:rPr>
                <w:sz w:val="18"/>
                <w:szCs w:val="18"/>
                <w:lang w:val="fr-FR"/>
              </w:rPr>
              <w:t>Section 2.2.1.1:</w:t>
            </w:r>
            <w:r w:rsidR="00886630">
              <w:rPr>
                <w:sz w:val="18"/>
                <w:szCs w:val="18"/>
                <w:lang w:val="fr-FR"/>
              </w:rPr>
              <w:t xml:space="preserve"> Changes on page 86-87</w:t>
            </w:r>
          </w:p>
          <w:p w14:paraId="0CE1FB87" w14:textId="77777777" w:rsidR="000674F5" w:rsidRPr="0048128E" w:rsidRDefault="000674F5" w:rsidP="00F04D52">
            <w:pPr>
              <w:rPr>
                <w:sz w:val="18"/>
                <w:szCs w:val="18"/>
                <w:lang w:val="fr-FR"/>
              </w:rPr>
            </w:pPr>
          </w:p>
          <w:p w14:paraId="171222BC" w14:textId="1FC57CC7" w:rsidR="00F04D52" w:rsidRPr="0048128E" w:rsidRDefault="00F04D52" w:rsidP="00F04D52">
            <w:pPr>
              <w:rPr>
                <w:sz w:val="18"/>
                <w:szCs w:val="18"/>
                <w:lang w:val="fr-FR"/>
              </w:rPr>
            </w:pPr>
            <w:r w:rsidRPr="0048128E">
              <w:rPr>
                <w:sz w:val="18"/>
                <w:szCs w:val="18"/>
                <w:lang w:val="fr-FR"/>
              </w:rPr>
              <w:t>Section 2.2.1.5</w:t>
            </w:r>
            <w:r w:rsidR="00886630">
              <w:rPr>
                <w:sz w:val="18"/>
                <w:szCs w:val="18"/>
                <w:lang w:val="fr-FR"/>
              </w:rPr>
              <w:t>: Changes on page 96-97</w:t>
            </w:r>
          </w:p>
          <w:p w14:paraId="70CF4AD4" w14:textId="77777777" w:rsidR="00F04D52" w:rsidRPr="0048128E" w:rsidRDefault="00F04D52" w:rsidP="003828C4">
            <w:pPr>
              <w:rPr>
                <w:sz w:val="18"/>
                <w:szCs w:val="18"/>
                <w:lang w:val="fr-FR"/>
              </w:rPr>
            </w:pPr>
          </w:p>
        </w:tc>
      </w:tr>
      <w:tr w:rsidR="00F04D52" w:rsidRPr="00514A00" w14:paraId="3BD95BCE" w14:textId="77777777" w:rsidTr="000674F5">
        <w:tc>
          <w:tcPr>
            <w:tcW w:w="1035" w:type="pct"/>
            <w:shd w:val="clear" w:color="auto" w:fill="1F4E79" w:themeFill="accent1" w:themeFillShade="80"/>
          </w:tcPr>
          <w:p w14:paraId="76DF08BE" w14:textId="614FDD3B" w:rsidR="00F04D52" w:rsidRPr="00514A00" w:rsidRDefault="00F04D52" w:rsidP="00F04D52">
            <w:pPr>
              <w:rPr>
                <w:b/>
                <w:color w:val="FFFFFF" w:themeColor="background1"/>
                <w:sz w:val="18"/>
                <w:szCs w:val="18"/>
              </w:rPr>
            </w:pPr>
            <w:r w:rsidRPr="00514A00">
              <w:rPr>
                <w:b/>
                <w:color w:val="FFFFFF" w:themeColor="background1"/>
                <w:sz w:val="18"/>
                <w:szCs w:val="18"/>
              </w:rPr>
              <w:lastRenderedPageBreak/>
              <w:t>ISPC Comments</w:t>
            </w:r>
          </w:p>
        </w:tc>
        <w:tc>
          <w:tcPr>
            <w:tcW w:w="2964" w:type="pct"/>
            <w:gridSpan w:val="3"/>
            <w:shd w:val="clear" w:color="auto" w:fill="1F4E79" w:themeFill="accent1" w:themeFillShade="80"/>
          </w:tcPr>
          <w:p w14:paraId="655F63B2" w14:textId="77777777" w:rsidR="00F04D52" w:rsidRPr="00514A00" w:rsidRDefault="00F04D52" w:rsidP="00F04D52">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17809B7A" w14:textId="75ECD667" w:rsidR="00F04D52" w:rsidRPr="00514A00" w:rsidRDefault="00F04D52" w:rsidP="00F04D52">
            <w:pPr>
              <w:rPr>
                <w:b/>
                <w:color w:val="FFFFFF" w:themeColor="background1"/>
                <w:sz w:val="18"/>
                <w:szCs w:val="18"/>
              </w:rPr>
            </w:pPr>
            <w:r w:rsidRPr="00514A00">
              <w:rPr>
                <w:b/>
                <w:color w:val="FFFFFF" w:themeColor="background1"/>
                <w:sz w:val="18"/>
                <w:szCs w:val="18"/>
              </w:rPr>
              <w:t>Modifications to narrative</w:t>
            </w:r>
          </w:p>
        </w:tc>
      </w:tr>
      <w:tr w:rsidR="00F04D52" w:rsidRPr="00514A00" w14:paraId="64DC3F4E" w14:textId="77777777" w:rsidTr="000674F5">
        <w:tc>
          <w:tcPr>
            <w:tcW w:w="1035" w:type="pct"/>
          </w:tcPr>
          <w:p w14:paraId="33E16A5F" w14:textId="076CD5E0" w:rsidR="00F04D52" w:rsidRPr="00514A00" w:rsidRDefault="00F04D52" w:rsidP="00F04D52">
            <w:pPr>
              <w:pStyle w:val="ListParagraph"/>
              <w:numPr>
                <w:ilvl w:val="0"/>
                <w:numId w:val="38"/>
              </w:numPr>
              <w:spacing w:after="160" w:line="259" w:lineRule="auto"/>
              <w:rPr>
                <w:b/>
                <w:sz w:val="18"/>
                <w:szCs w:val="18"/>
              </w:rPr>
            </w:pPr>
            <w:r w:rsidRPr="00514A00">
              <w:rPr>
                <w:b/>
                <w:sz w:val="18"/>
                <w:szCs w:val="18"/>
              </w:rPr>
              <w:t xml:space="preserve">Present further clarification on the scientific rationale underpinning the research focus on improved livestock breeds, vaccines, and </w:t>
            </w:r>
            <w:r w:rsidRPr="00514A00">
              <w:rPr>
                <w:b/>
                <w:sz w:val="18"/>
                <w:szCs w:val="18"/>
                <w:u w:val="single"/>
              </w:rPr>
              <w:t>improved feeds and forages</w:t>
            </w:r>
            <w:r w:rsidRPr="00514A00">
              <w:rPr>
                <w:b/>
                <w:sz w:val="18"/>
                <w:szCs w:val="18"/>
              </w:rPr>
              <w:t>; how the broader technical advances will lead to research success within six years; and, how risks will be mitigated or managed.</w:t>
            </w:r>
          </w:p>
          <w:p w14:paraId="06F81DB7" w14:textId="77777777" w:rsidR="00F04D52" w:rsidRPr="00514A00" w:rsidRDefault="00F04D52" w:rsidP="00F04D52">
            <w:pPr>
              <w:pStyle w:val="ListParagraph"/>
              <w:rPr>
                <w:b/>
                <w:sz w:val="18"/>
                <w:szCs w:val="18"/>
              </w:rPr>
            </w:pPr>
          </w:p>
          <w:p w14:paraId="393A2A12" w14:textId="77777777" w:rsidR="00F04D52" w:rsidRPr="00514A00" w:rsidRDefault="00F04D52" w:rsidP="00F04D52">
            <w:pPr>
              <w:rPr>
                <w:b/>
                <w:sz w:val="18"/>
                <w:szCs w:val="18"/>
              </w:rPr>
            </w:pPr>
            <w:r w:rsidRPr="00514A00">
              <w:rPr>
                <w:b/>
                <w:sz w:val="18"/>
                <w:szCs w:val="18"/>
              </w:rPr>
              <w:lastRenderedPageBreak/>
              <w:t>Livestock feeds and forages comment:</w:t>
            </w:r>
          </w:p>
          <w:p w14:paraId="524CC83A" w14:textId="71809119" w:rsidR="00F04D52" w:rsidRPr="00514A00" w:rsidRDefault="00F04D52" w:rsidP="00F04D52">
            <w:pPr>
              <w:rPr>
                <w:sz w:val="18"/>
                <w:szCs w:val="18"/>
              </w:rPr>
            </w:pPr>
            <w:r w:rsidRPr="00514A00">
              <w:rPr>
                <w:sz w:val="18"/>
                <w:szCs w:val="18"/>
              </w:rPr>
              <w:t>But, in the context of substantive past efforts by CIAT, ILRI, and other CGIAR Centres, evidence on the most important constraints to achieving stated objectives (e.g. technical, cost/ profitability, market orientation) and pinpointing changes that will deliver success over the coming years should be included in the addendum.</w:t>
            </w:r>
          </w:p>
        </w:tc>
        <w:tc>
          <w:tcPr>
            <w:tcW w:w="2964" w:type="pct"/>
            <w:gridSpan w:val="3"/>
          </w:tcPr>
          <w:p w14:paraId="6E228018" w14:textId="77777777" w:rsidR="00F04D52" w:rsidRPr="00B356A6" w:rsidRDefault="00F04D52" w:rsidP="00F04D52">
            <w:pPr>
              <w:rPr>
                <w:b/>
                <w:sz w:val="18"/>
                <w:szCs w:val="18"/>
              </w:rPr>
            </w:pPr>
            <w:r>
              <w:rPr>
                <w:b/>
                <w:sz w:val="18"/>
                <w:szCs w:val="18"/>
              </w:rPr>
              <w:lastRenderedPageBreak/>
              <w:t>Improved f</w:t>
            </w:r>
            <w:r w:rsidRPr="00B356A6">
              <w:rPr>
                <w:b/>
                <w:sz w:val="18"/>
                <w:szCs w:val="18"/>
              </w:rPr>
              <w:t>eeds and forages</w:t>
            </w:r>
          </w:p>
          <w:p w14:paraId="3C990571" w14:textId="77777777" w:rsidR="00F04D52" w:rsidRDefault="00F04D52" w:rsidP="00F04D52">
            <w:pPr>
              <w:rPr>
                <w:sz w:val="18"/>
                <w:szCs w:val="18"/>
                <w:highlight w:val="yellow"/>
              </w:rPr>
            </w:pPr>
          </w:p>
          <w:p w14:paraId="5572891B" w14:textId="77777777" w:rsidR="00F04D52" w:rsidRPr="00973384" w:rsidRDefault="00F04D52" w:rsidP="00F04D52">
            <w:pPr>
              <w:rPr>
                <w:b/>
                <w:sz w:val="18"/>
                <w:szCs w:val="18"/>
              </w:rPr>
            </w:pPr>
            <w:r w:rsidRPr="00973384">
              <w:rPr>
                <w:b/>
                <w:sz w:val="18"/>
                <w:szCs w:val="18"/>
              </w:rPr>
              <w:t>Scientific rationale</w:t>
            </w:r>
          </w:p>
          <w:p w14:paraId="2602AE79" w14:textId="7BC46E11" w:rsidR="00F04D52" w:rsidRDefault="00F04D52" w:rsidP="00F04D52">
            <w:pPr>
              <w:rPr>
                <w:sz w:val="18"/>
                <w:szCs w:val="18"/>
              </w:rPr>
            </w:pPr>
            <w:r w:rsidRPr="00296143">
              <w:rPr>
                <w:sz w:val="18"/>
                <w:szCs w:val="18"/>
              </w:rPr>
              <w:t xml:space="preserve">As described above, and in the opening </w:t>
            </w:r>
            <w:r w:rsidR="001E171E">
              <w:rPr>
                <w:sz w:val="18"/>
                <w:szCs w:val="18"/>
              </w:rPr>
              <w:t>flagship narrative,</w:t>
            </w:r>
            <w:r w:rsidRPr="00296143">
              <w:rPr>
                <w:sz w:val="18"/>
                <w:szCs w:val="18"/>
              </w:rPr>
              <w:t xml:space="preserve"> there is considerable scientific evidence that feeds are a crucial component of improving livestock productivity and addressing efficiency and thus, underpin the development ambitions of the program. </w:t>
            </w:r>
          </w:p>
          <w:p w14:paraId="4FEC0D61" w14:textId="77777777" w:rsidR="00F04D52" w:rsidRDefault="00F04D52" w:rsidP="00F04D52">
            <w:pPr>
              <w:rPr>
                <w:sz w:val="18"/>
                <w:szCs w:val="18"/>
              </w:rPr>
            </w:pPr>
          </w:p>
          <w:p w14:paraId="2DCA2FA3" w14:textId="77777777" w:rsidR="00F04D52" w:rsidRPr="00296143" w:rsidRDefault="00F04D52" w:rsidP="00F04D52">
            <w:pPr>
              <w:rPr>
                <w:sz w:val="18"/>
                <w:szCs w:val="18"/>
              </w:rPr>
            </w:pPr>
            <w:r w:rsidRPr="00296143">
              <w:rPr>
                <w:sz w:val="18"/>
                <w:szCs w:val="18"/>
              </w:rPr>
              <w:t xml:space="preserve">The scientific evidence supporting the choice of research topics to address major feed constraints is summarised here and in </w:t>
            </w:r>
            <w:r>
              <w:rPr>
                <w:sz w:val="18"/>
                <w:szCs w:val="18"/>
              </w:rPr>
              <w:t xml:space="preserve">the </w:t>
            </w:r>
            <w:r w:rsidRPr="00296143">
              <w:rPr>
                <w:sz w:val="18"/>
                <w:szCs w:val="18"/>
              </w:rPr>
              <w:t>narrative revisions.</w:t>
            </w:r>
          </w:p>
          <w:p w14:paraId="40923B2F" w14:textId="085A6DE2" w:rsidR="00F04D52" w:rsidRPr="00296143" w:rsidRDefault="00F04D52" w:rsidP="003B2399">
            <w:pPr>
              <w:pStyle w:val="ListParagraph"/>
              <w:numPr>
                <w:ilvl w:val="0"/>
                <w:numId w:val="30"/>
              </w:numPr>
              <w:rPr>
                <w:sz w:val="18"/>
                <w:szCs w:val="18"/>
              </w:rPr>
            </w:pPr>
            <w:r w:rsidRPr="00296143">
              <w:rPr>
                <w:sz w:val="18"/>
                <w:szCs w:val="18"/>
              </w:rPr>
              <w:t xml:space="preserve">The context for feed and forage interventions is very variable at all levels of scale. </w:t>
            </w:r>
            <w:r w:rsidR="001E171E">
              <w:rPr>
                <w:sz w:val="18"/>
                <w:szCs w:val="18"/>
              </w:rPr>
              <w:t>This flagship</w:t>
            </w:r>
            <w:r w:rsidRPr="00296143">
              <w:rPr>
                <w:sz w:val="18"/>
                <w:szCs w:val="18"/>
              </w:rPr>
              <w:t xml:space="preserve"> builds on evidence that simple approaches to connect feed solutions to individual contexts can better prioritise and tailor solutions. </w:t>
            </w:r>
          </w:p>
          <w:p w14:paraId="44F5520A" w14:textId="77777777" w:rsidR="00F04D52" w:rsidRPr="00296143" w:rsidRDefault="00F04D52" w:rsidP="003B2399">
            <w:pPr>
              <w:pStyle w:val="ListParagraph"/>
              <w:numPr>
                <w:ilvl w:val="0"/>
                <w:numId w:val="30"/>
              </w:numPr>
              <w:rPr>
                <w:sz w:val="18"/>
                <w:szCs w:val="18"/>
              </w:rPr>
            </w:pPr>
            <w:r w:rsidRPr="00296143">
              <w:rPr>
                <w:sz w:val="18"/>
                <w:szCs w:val="18"/>
              </w:rPr>
              <w:t>Technical constraints to be addressed include:</w:t>
            </w:r>
          </w:p>
          <w:p w14:paraId="12592CEA" w14:textId="77777777" w:rsidR="00F04D52" w:rsidRPr="00296143" w:rsidRDefault="00F04D52" w:rsidP="00F04D52">
            <w:pPr>
              <w:rPr>
                <w:sz w:val="18"/>
                <w:szCs w:val="18"/>
              </w:rPr>
            </w:pPr>
          </w:p>
          <w:p w14:paraId="021CDA57" w14:textId="77777777" w:rsidR="00F04D52" w:rsidRPr="00290D76" w:rsidRDefault="00F04D52" w:rsidP="003B2399">
            <w:pPr>
              <w:pStyle w:val="ListParagraph"/>
              <w:numPr>
                <w:ilvl w:val="1"/>
                <w:numId w:val="30"/>
              </w:numPr>
              <w:autoSpaceDE w:val="0"/>
              <w:autoSpaceDN w:val="0"/>
              <w:adjustRightInd w:val="0"/>
              <w:spacing w:after="240"/>
              <w:rPr>
                <w:sz w:val="18"/>
                <w:szCs w:val="18"/>
              </w:rPr>
            </w:pPr>
            <w:r w:rsidRPr="00C56725">
              <w:rPr>
                <w:sz w:val="18"/>
                <w:szCs w:val="18"/>
              </w:rPr>
              <w:t xml:space="preserve">Land scarcity. Whilst forages can be planted on vast acreages in some parts of the world, for mixed crop-livestock systems in particular for the intensifying trajectory, </w:t>
            </w:r>
            <w:r w:rsidRPr="00290D76">
              <w:rPr>
                <w:sz w:val="18"/>
                <w:szCs w:val="18"/>
              </w:rPr>
              <w:t>where human population density is high (and increasing) and land holdings are small</w:t>
            </w:r>
            <w:r>
              <w:rPr>
                <w:sz w:val="18"/>
                <w:szCs w:val="18"/>
              </w:rPr>
              <w:t>,</w:t>
            </w:r>
            <w:r w:rsidRPr="00290D76">
              <w:rPr>
                <w:sz w:val="18"/>
                <w:szCs w:val="18"/>
              </w:rPr>
              <w:t xml:space="preserve"> </w:t>
            </w:r>
            <w:r w:rsidRPr="00C56725">
              <w:rPr>
                <w:sz w:val="18"/>
                <w:szCs w:val="18"/>
              </w:rPr>
              <w:t xml:space="preserve">land (and other resources) are </w:t>
            </w:r>
            <w:r>
              <w:rPr>
                <w:sz w:val="18"/>
                <w:szCs w:val="18"/>
              </w:rPr>
              <w:t xml:space="preserve">often </w:t>
            </w:r>
            <w:r w:rsidRPr="00C56725">
              <w:rPr>
                <w:sz w:val="18"/>
                <w:szCs w:val="18"/>
              </w:rPr>
              <w:t>constrained meaning that food and feed must come from the same resource investment</w:t>
            </w:r>
            <w:r>
              <w:rPr>
                <w:sz w:val="18"/>
                <w:szCs w:val="18"/>
              </w:rPr>
              <w:t>.  This leads to</w:t>
            </w:r>
            <w:r w:rsidRPr="00C56725">
              <w:rPr>
                <w:sz w:val="18"/>
                <w:szCs w:val="18"/>
              </w:rPr>
              <w:t xml:space="preserve"> prioritising work to improve the quantity, quality and use of full purpose crops </w:t>
            </w:r>
            <w:r>
              <w:rPr>
                <w:sz w:val="18"/>
                <w:szCs w:val="18"/>
              </w:rPr>
              <w:t>(</w:t>
            </w:r>
            <w:r w:rsidRPr="00C56725">
              <w:rPr>
                <w:sz w:val="18"/>
                <w:szCs w:val="18"/>
              </w:rPr>
              <w:t xml:space="preserve">Smith et al 1997; </w:t>
            </w:r>
            <w:proofErr w:type="spellStart"/>
            <w:r w:rsidRPr="00C56725">
              <w:rPr>
                <w:rFonts w:eastAsia="Times New Roman" w:cs="Times New Roman"/>
                <w:sz w:val="18"/>
                <w:szCs w:val="18"/>
                <w:lang w:val="en-US"/>
              </w:rPr>
              <w:t>Lenné</w:t>
            </w:r>
            <w:proofErr w:type="spellEnd"/>
            <w:r w:rsidRPr="00C56725">
              <w:rPr>
                <w:rFonts w:eastAsia="Times New Roman" w:cs="Times New Roman"/>
                <w:sz w:val="18"/>
                <w:szCs w:val="18"/>
                <w:lang w:val="en-US"/>
              </w:rPr>
              <w:t xml:space="preserve"> et al 2003</w:t>
            </w:r>
            <w:r>
              <w:rPr>
                <w:rFonts w:eastAsia="Times New Roman" w:cs="Times New Roman"/>
                <w:sz w:val="18"/>
                <w:szCs w:val="18"/>
                <w:lang w:val="en-US"/>
              </w:rPr>
              <w:t>)</w:t>
            </w:r>
            <w:r w:rsidRPr="00C56725">
              <w:rPr>
                <w:rFonts w:eastAsia="Times New Roman" w:cs="Times New Roman"/>
                <w:sz w:val="18"/>
                <w:szCs w:val="18"/>
                <w:lang w:val="en-US"/>
              </w:rPr>
              <w:t xml:space="preserve">. </w:t>
            </w:r>
          </w:p>
          <w:p w14:paraId="27F0DA1A" w14:textId="77777777" w:rsidR="00F04D52" w:rsidRDefault="00F04D52" w:rsidP="003B2399">
            <w:pPr>
              <w:pStyle w:val="ListParagraph"/>
              <w:numPr>
                <w:ilvl w:val="1"/>
                <w:numId w:val="30"/>
              </w:numPr>
              <w:autoSpaceDE w:val="0"/>
              <w:autoSpaceDN w:val="0"/>
              <w:adjustRightInd w:val="0"/>
              <w:spacing w:after="240"/>
              <w:rPr>
                <w:sz w:val="18"/>
                <w:szCs w:val="18"/>
              </w:rPr>
            </w:pPr>
            <w:r w:rsidRPr="00C56725">
              <w:rPr>
                <w:sz w:val="18"/>
                <w:szCs w:val="18"/>
              </w:rPr>
              <w:t xml:space="preserve">For both forages and full purpose crops, climatic and biotic challenges present on going and unpredictable threats. Crop breeders continue to address new pests and diseases as well as climate change threats through traditional and new approaches and these will equally benefit full purpose crops. For forage and rangeland species, the application of molecular and conventional genetics and genomics has the potential to mitigate such risks </w:t>
            </w:r>
            <w:r>
              <w:rPr>
                <w:sz w:val="18"/>
                <w:szCs w:val="18"/>
              </w:rPr>
              <w:t>(</w:t>
            </w:r>
            <w:r w:rsidRPr="00C56725">
              <w:rPr>
                <w:sz w:val="18"/>
                <w:szCs w:val="18"/>
              </w:rPr>
              <w:t xml:space="preserve">Maass et al 2015; </w:t>
            </w:r>
            <w:proofErr w:type="spellStart"/>
            <w:r w:rsidRPr="00C56725">
              <w:rPr>
                <w:sz w:val="18"/>
                <w:szCs w:val="18"/>
              </w:rPr>
              <w:t>Wanjala</w:t>
            </w:r>
            <w:proofErr w:type="spellEnd"/>
            <w:r w:rsidRPr="00C56725">
              <w:rPr>
                <w:sz w:val="18"/>
                <w:szCs w:val="18"/>
              </w:rPr>
              <w:t xml:space="preserve"> et al 2013</w:t>
            </w:r>
            <w:r>
              <w:rPr>
                <w:sz w:val="18"/>
                <w:szCs w:val="18"/>
              </w:rPr>
              <w:t>)</w:t>
            </w:r>
            <w:r w:rsidRPr="00C56725">
              <w:rPr>
                <w:sz w:val="18"/>
                <w:szCs w:val="18"/>
              </w:rPr>
              <w:t xml:space="preserve">. </w:t>
            </w:r>
          </w:p>
          <w:p w14:paraId="5DEBEE83" w14:textId="77777777" w:rsidR="00F04D52" w:rsidRPr="00C56725" w:rsidRDefault="00F04D52" w:rsidP="003B2399">
            <w:pPr>
              <w:pStyle w:val="ListParagraph"/>
              <w:numPr>
                <w:ilvl w:val="1"/>
                <w:numId w:val="30"/>
              </w:numPr>
              <w:autoSpaceDE w:val="0"/>
              <w:autoSpaceDN w:val="0"/>
              <w:adjustRightInd w:val="0"/>
              <w:spacing w:after="240"/>
              <w:rPr>
                <w:sz w:val="18"/>
                <w:szCs w:val="18"/>
              </w:rPr>
            </w:pPr>
            <w:r w:rsidRPr="00C56725">
              <w:rPr>
                <w:sz w:val="18"/>
                <w:szCs w:val="18"/>
              </w:rPr>
              <w:t>Variable feed supply</w:t>
            </w:r>
            <w:r>
              <w:rPr>
                <w:sz w:val="18"/>
                <w:szCs w:val="18"/>
              </w:rPr>
              <w:t xml:space="preserve"> (time and space)</w:t>
            </w:r>
            <w:r w:rsidRPr="00C56725">
              <w:rPr>
                <w:sz w:val="18"/>
                <w:szCs w:val="18"/>
              </w:rPr>
              <w:t xml:space="preserve"> is well recognised to limit livestock productivity. This constraint can be addressed through smart approaches to combine available feed solutions as well as processing and conservation </w:t>
            </w:r>
            <w:r w:rsidRPr="003E20B7">
              <w:rPr>
                <w:sz w:val="18"/>
                <w:szCs w:val="18"/>
              </w:rPr>
              <w:t>strategies. Cluster</w:t>
            </w:r>
            <w:r w:rsidRPr="00C56725">
              <w:rPr>
                <w:sz w:val="18"/>
                <w:szCs w:val="18"/>
              </w:rPr>
              <w:t xml:space="preserve"> 3 in particular addresses these issues </w:t>
            </w:r>
            <w:r>
              <w:rPr>
                <w:sz w:val="18"/>
                <w:szCs w:val="18"/>
              </w:rPr>
              <w:t>(</w:t>
            </w:r>
            <w:proofErr w:type="spellStart"/>
            <w:r w:rsidRPr="00C56725">
              <w:rPr>
                <w:sz w:val="18"/>
                <w:szCs w:val="18"/>
              </w:rPr>
              <w:t>Shikuku</w:t>
            </w:r>
            <w:proofErr w:type="spellEnd"/>
            <w:r w:rsidRPr="00C56725">
              <w:rPr>
                <w:sz w:val="18"/>
                <w:szCs w:val="18"/>
              </w:rPr>
              <w:t xml:space="preserve"> et al</w:t>
            </w:r>
            <w:r>
              <w:rPr>
                <w:sz w:val="18"/>
                <w:szCs w:val="18"/>
              </w:rPr>
              <w:t xml:space="preserve"> 2016)</w:t>
            </w:r>
            <w:r w:rsidRPr="00C56725">
              <w:rPr>
                <w:sz w:val="18"/>
                <w:szCs w:val="18"/>
              </w:rPr>
              <w:t>.</w:t>
            </w:r>
          </w:p>
          <w:p w14:paraId="3F2A0AFB" w14:textId="77777777" w:rsidR="00F04D52" w:rsidRPr="00296143" w:rsidRDefault="00F04D52" w:rsidP="003B2399">
            <w:pPr>
              <w:pStyle w:val="ListParagraph"/>
              <w:numPr>
                <w:ilvl w:val="0"/>
                <w:numId w:val="30"/>
              </w:numPr>
              <w:rPr>
                <w:sz w:val="18"/>
                <w:szCs w:val="18"/>
              </w:rPr>
            </w:pPr>
            <w:r w:rsidRPr="00296143">
              <w:rPr>
                <w:sz w:val="18"/>
                <w:szCs w:val="18"/>
              </w:rPr>
              <w:t>Institutional constraints include:</w:t>
            </w:r>
          </w:p>
          <w:p w14:paraId="4AF40E88" w14:textId="77777777" w:rsidR="00F04D52" w:rsidRPr="00296143" w:rsidRDefault="00F04D52" w:rsidP="003B2399">
            <w:pPr>
              <w:pStyle w:val="ListParagraph"/>
              <w:numPr>
                <w:ilvl w:val="1"/>
                <w:numId w:val="30"/>
              </w:numPr>
              <w:rPr>
                <w:sz w:val="18"/>
                <w:szCs w:val="18"/>
              </w:rPr>
            </w:pPr>
            <w:r w:rsidRPr="00296143">
              <w:rPr>
                <w:sz w:val="18"/>
                <w:szCs w:val="18"/>
              </w:rPr>
              <w:t>Seed supply and delivery. A number of recent reports have emphasised this dimension as a key bottleneck (ISPC, 2014; World Bank, 2012) to providing livestock feeding solutions. Evidence from studies by ILRI and others has shown that approaches based on innovation systems, as well as developing business enterprises (World Bank, 2012) are promising solutions</w:t>
            </w:r>
            <w:r>
              <w:rPr>
                <w:sz w:val="18"/>
                <w:szCs w:val="18"/>
              </w:rPr>
              <w:t xml:space="preserve"> (</w:t>
            </w:r>
            <w:proofErr w:type="spellStart"/>
            <w:r>
              <w:rPr>
                <w:sz w:val="18"/>
                <w:szCs w:val="18"/>
              </w:rPr>
              <w:t>Ayele</w:t>
            </w:r>
            <w:proofErr w:type="spellEnd"/>
            <w:r>
              <w:rPr>
                <w:sz w:val="18"/>
                <w:szCs w:val="18"/>
              </w:rPr>
              <w:t xml:space="preserve"> et al 2012; Stur et al 2013)</w:t>
            </w:r>
            <w:r w:rsidRPr="00296143">
              <w:rPr>
                <w:sz w:val="18"/>
                <w:szCs w:val="18"/>
              </w:rPr>
              <w:t xml:space="preserve">. </w:t>
            </w:r>
          </w:p>
          <w:p w14:paraId="0FDE5EF6" w14:textId="77777777" w:rsidR="00F04D52" w:rsidRPr="00296143" w:rsidRDefault="00F04D52" w:rsidP="003B2399">
            <w:pPr>
              <w:pStyle w:val="ListParagraph"/>
              <w:numPr>
                <w:ilvl w:val="1"/>
                <w:numId w:val="30"/>
              </w:numPr>
              <w:rPr>
                <w:sz w:val="18"/>
                <w:szCs w:val="18"/>
              </w:rPr>
            </w:pPr>
            <w:r w:rsidRPr="00296143">
              <w:rPr>
                <w:sz w:val="18"/>
                <w:szCs w:val="18"/>
              </w:rPr>
              <w:t>The World Bank report on opportunities for ruminant livestock feeding also identified the need to reduce transactions costs that preclude smallholders accessing feed options (seeds, other interventions or even information) (World Bank, 2012). Again, development of appropriate scale and scope of business enterprises which may also present additional opportunities especially for women and young people are reported to be key solutions</w:t>
            </w:r>
            <w:r>
              <w:rPr>
                <w:sz w:val="18"/>
                <w:szCs w:val="18"/>
              </w:rPr>
              <w:t xml:space="preserve"> (Lukuyu et al 2015)</w:t>
            </w:r>
          </w:p>
          <w:p w14:paraId="60EDB7E4" w14:textId="3C174467" w:rsidR="00F04D52" w:rsidRDefault="00F04D52" w:rsidP="003B2399">
            <w:pPr>
              <w:pStyle w:val="ListParagraph"/>
              <w:numPr>
                <w:ilvl w:val="1"/>
                <w:numId w:val="30"/>
              </w:numPr>
              <w:rPr>
                <w:sz w:val="18"/>
                <w:szCs w:val="18"/>
              </w:rPr>
            </w:pPr>
            <w:r w:rsidRPr="00296143">
              <w:rPr>
                <w:sz w:val="18"/>
                <w:szCs w:val="18"/>
              </w:rPr>
              <w:t xml:space="preserve">The enabling environment provided by appropriate public sector policies is important in the feeds arena, such as for providing a conducive investment environment and ensuring appropriate feed standards and regulations are in </w:t>
            </w:r>
            <w:r w:rsidRPr="00351F61">
              <w:rPr>
                <w:sz w:val="18"/>
                <w:szCs w:val="18"/>
              </w:rPr>
              <w:t>place. These</w:t>
            </w:r>
            <w:r w:rsidRPr="00296143">
              <w:rPr>
                <w:sz w:val="18"/>
                <w:szCs w:val="18"/>
              </w:rPr>
              <w:t xml:space="preserve"> dimension are addressed through the value chain and policy research described in </w:t>
            </w:r>
            <w:r w:rsidR="0080437D">
              <w:rPr>
                <w:sz w:val="18"/>
                <w:szCs w:val="18"/>
              </w:rPr>
              <w:t>LLAFS</w:t>
            </w:r>
            <w:r>
              <w:rPr>
                <w:sz w:val="18"/>
                <w:szCs w:val="18"/>
              </w:rPr>
              <w:t xml:space="preserve"> (Kebebe et al 2015)</w:t>
            </w:r>
            <w:r w:rsidRPr="00296143">
              <w:rPr>
                <w:sz w:val="18"/>
                <w:szCs w:val="18"/>
              </w:rPr>
              <w:t xml:space="preserve">. </w:t>
            </w:r>
          </w:p>
          <w:p w14:paraId="1AB48C55" w14:textId="77777777" w:rsidR="00F04D52" w:rsidRPr="00296143" w:rsidRDefault="00F04D52" w:rsidP="00F04D52">
            <w:pPr>
              <w:pStyle w:val="ListParagraph"/>
              <w:ind w:left="1440"/>
              <w:rPr>
                <w:sz w:val="18"/>
                <w:szCs w:val="18"/>
              </w:rPr>
            </w:pPr>
          </w:p>
          <w:p w14:paraId="1B785EF0" w14:textId="77777777" w:rsidR="00F04D52" w:rsidRPr="00290D76" w:rsidRDefault="00F04D52" w:rsidP="00F04D52">
            <w:pPr>
              <w:rPr>
                <w:b/>
                <w:sz w:val="18"/>
                <w:szCs w:val="18"/>
              </w:rPr>
            </w:pPr>
            <w:r w:rsidRPr="00290D76">
              <w:rPr>
                <w:b/>
                <w:sz w:val="18"/>
                <w:szCs w:val="18"/>
              </w:rPr>
              <w:t>Research success within six years</w:t>
            </w:r>
          </w:p>
          <w:p w14:paraId="73DEF0A8" w14:textId="77777777" w:rsidR="00F04D52" w:rsidRPr="00296143" w:rsidRDefault="00F04D52" w:rsidP="00F04D52">
            <w:pPr>
              <w:rPr>
                <w:sz w:val="18"/>
                <w:szCs w:val="18"/>
              </w:rPr>
            </w:pPr>
            <w:r w:rsidRPr="00296143">
              <w:rPr>
                <w:sz w:val="18"/>
                <w:szCs w:val="18"/>
              </w:rPr>
              <w:t>Successful results are anticipated during the six years of the CRP for a number of reasons.</w:t>
            </w:r>
          </w:p>
          <w:p w14:paraId="4AC34435" w14:textId="77777777" w:rsidR="00F04D52" w:rsidRPr="00296143" w:rsidRDefault="00F04D52" w:rsidP="003B2399">
            <w:pPr>
              <w:pStyle w:val="ListParagraph"/>
              <w:numPr>
                <w:ilvl w:val="0"/>
                <w:numId w:val="30"/>
              </w:numPr>
              <w:rPr>
                <w:sz w:val="18"/>
                <w:szCs w:val="18"/>
              </w:rPr>
            </w:pPr>
            <w:r w:rsidRPr="00296143">
              <w:rPr>
                <w:sz w:val="18"/>
                <w:szCs w:val="18"/>
              </w:rPr>
              <w:t xml:space="preserve">Whilst the CRP builds on and continues to use research based on decades of investment, several new dimensions have been incorporated to address the constraints and opportunities described above and reflected in particular in clusters 1 and 4. </w:t>
            </w:r>
          </w:p>
          <w:p w14:paraId="1785A124" w14:textId="77777777" w:rsidR="009C7B2C" w:rsidRDefault="00F04D52" w:rsidP="002E04DF">
            <w:pPr>
              <w:pStyle w:val="ListParagraph"/>
              <w:numPr>
                <w:ilvl w:val="0"/>
                <w:numId w:val="30"/>
              </w:numPr>
              <w:rPr>
                <w:sz w:val="18"/>
                <w:szCs w:val="18"/>
              </w:rPr>
            </w:pPr>
            <w:r w:rsidRPr="009C7B2C">
              <w:rPr>
                <w:sz w:val="18"/>
                <w:szCs w:val="18"/>
              </w:rPr>
              <w:lastRenderedPageBreak/>
              <w:t>Solutions including full purpose crops will include working closely with AFS CRPs and building on lessons from earlier work where feed parameters are included in national cereal release criteria (</w:t>
            </w:r>
            <w:proofErr w:type="spellStart"/>
            <w:r w:rsidRPr="009C7B2C">
              <w:rPr>
                <w:sz w:val="18"/>
                <w:szCs w:val="18"/>
              </w:rPr>
              <w:t>Aruna</w:t>
            </w:r>
            <w:proofErr w:type="spellEnd"/>
            <w:r w:rsidRPr="009C7B2C">
              <w:rPr>
                <w:sz w:val="18"/>
                <w:szCs w:val="18"/>
              </w:rPr>
              <w:t xml:space="preserve"> et al 2015).</w:t>
            </w:r>
          </w:p>
          <w:p w14:paraId="20F6C560" w14:textId="7C839148" w:rsidR="00F04D52" w:rsidRPr="009C7B2C" w:rsidRDefault="00F04D52" w:rsidP="002E04DF">
            <w:pPr>
              <w:pStyle w:val="ListParagraph"/>
              <w:numPr>
                <w:ilvl w:val="0"/>
                <w:numId w:val="30"/>
              </w:numPr>
              <w:rPr>
                <w:sz w:val="18"/>
                <w:szCs w:val="18"/>
              </w:rPr>
            </w:pPr>
            <w:r w:rsidRPr="009C7B2C">
              <w:rPr>
                <w:sz w:val="18"/>
                <w:szCs w:val="18"/>
              </w:rPr>
              <w:t>Recent work on developing feeds from cassava peels is ready to go to scale and opportunities with the business sector are being explored (Okike et al 2015).</w:t>
            </w:r>
          </w:p>
          <w:p w14:paraId="35FEB3F1" w14:textId="77777777" w:rsidR="00F04D52" w:rsidRDefault="00F04D52" w:rsidP="003B2399">
            <w:pPr>
              <w:pStyle w:val="ListParagraph"/>
              <w:numPr>
                <w:ilvl w:val="0"/>
                <w:numId w:val="30"/>
              </w:numPr>
              <w:rPr>
                <w:sz w:val="18"/>
                <w:szCs w:val="18"/>
              </w:rPr>
            </w:pPr>
            <w:r w:rsidRPr="00296143">
              <w:rPr>
                <w:sz w:val="18"/>
                <w:szCs w:val="18"/>
              </w:rPr>
              <w:t xml:space="preserve">A </w:t>
            </w:r>
            <w:r>
              <w:rPr>
                <w:sz w:val="18"/>
                <w:szCs w:val="18"/>
              </w:rPr>
              <w:t>three</w:t>
            </w:r>
            <w:r w:rsidRPr="00296143">
              <w:rPr>
                <w:sz w:val="18"/>
                <w:szCs w:val="18"/>
              </w:rPr>
              <w:t xml:space="preserve"> year pipeline is already in place for interspecific </w:t>
            </w:r>
            <w:proofErr w:type="spellStart"/>
            <w:r w:rsidRPr="00296143">
              <w:rPr>
                <w:sz w:val="18"/>
                <w:szCs w:val="18"/>
              </w:rPr>
              <w:t>Brachiaria</w:t>
            </w:r>
            <w:proofErr w:type="spellEnd"/>
            <w:r w:rsidRPr="00296143">
              <w:rPr>
                <w:sz w:val="18"/>
                <w:szCs w:val="18"/>
              </w:rPr>
              <w:t xml:space="preserve"> hybrids meaning new accessions will be ready for scaling in the framework of the </w:t>
            </w:r>
            <w:r>
              <w:rPr>
                <w:sz w:val="18"/>
                <w:szCs w:val="18"/>
              </w:rPr>
              <w:t>six</w:t>
            </w:r>
            <w:r w:rsidRPr="00296143">
              <w:rPr>
                <w:sz w:val="18"/>
                <w:szCs w:val="18"/>
              </w:rPr>
              <w:t xml:space="preserve"> years. </w:t>
            </w:r>
          </w:p>
          <w:p w14:paraId="1E6B3051" w14:textId="77777777" w:rsidR="00247B01" w:rsidRDefault="00247B01" w:rsidP="00317C37">
            <w:pPr>
              <w:rPr>
                <w:sz w:val="18"/>
                <w:szCs w:val="18"/>
                <w:highlight w:val="cyan"/>
              </w:rPr>
            </w:pPr>
          </w:p>
          <w:p w14:paraId="32979222" w14:textId="0B49D60F" w:rsidR="00317C37" w:rsidRPr="00317C37" w:rsidRDefault="00317C37" w:rsidP="00317C37">
            <w:pPr>
              <w:rPr>
                <w:sz w:val="18"/>
                <w:szCs w:val="18"/>
              </w:rPr>
            </w:pPr>
            <w:r w:rsidRPr="00247B01">
              <w:rPr>
                <w:sz w:val="18"/>
                <w:szCs w:val="18"/>
              </w:rPr>
              <w:t>The flagship acknowledges that some of the research undertaken may not yield results at scale within six years, but rather forms part of the longer pipeline, as described in the response to bullet 1 above.</w:t>
            </w:r>
            <w:r>
              <w:rPr>
                <w:sz w:val="18"/>
                <w:szCs w:val="18"/>
              </w:rPr>
              <w:t xml:space="preserve"> </w:t>
            </w:r>
          </w:p>
          <w:p w14:paraId="0749E3A5" w14:textId="77777777" w:rsidR="00F04D52" w:rsidRPr="00296143" w:rsidRDefault="00F04D52" w:rsidP="00F04D52">
            <w:pPr>
              <w:rPr>
                <w:sz w:val="18"/>
                <w:szCs w:val="18"/>
              </w:rPr>
            </w:pPr>
          </w:p>
          <w:p w14:paraId="38AEE22C" w14:textId="77777777" w:rsidR="00F04D52" w:rsidRPr="00296143" w:rsidRDefault="00F04D52" w:rsidP="00F04D52">
            <w:pPr>
              <w:rPr>
                <w:b/>
                <w:sz w:val="18"/>
                <w:szCs w:val="18"/>
              </w:rPr>
            </w:pPr>
            <w:r>
              <w:rPr>
                <w:b/>
                <w:sz w:val="18"/>
                <w:szCs w:val="18"/>
              </w:rPr>
              <w:t>Risk mitigation/management</w:t>
            </w:r>
          </w:p>
          <w:p w14:paraId="2827726D" w14:textId="74E143F6" w:rsidR="00F04D52" w:rsidRPr="00296143" w:rsidRDefault="00F04D52" w:rsidP="00F04D52">
            <w:pPr>
              <w:rPr>
                <w:sz w:val="18"/>
                <w:szCs w:val="18"/>
              </w:rPr>
            </w:pPr>
            <w:r w:rsidRPr="00296143">
              <w:rPr>
                <w:sz w:val="18"/>
                <w:szCs w:val="18"/>
              </w:rPr>
              <w:t>There are plenty of examples of investments in feed solutions that work in a project context but fail to go to scale and have lasting impact</w:t>
            </w:r>
            <w:r>
              <w:rPr>
                <w:sz w:val="18"/>
                <w:szCs w:val="18"/>
              </w:rPr>
              <w:t xml:space="preserve"> (</w:t>
            </w:r>
            <w:proofErr w:type="spellStart"/>
            <w:r>
              <w:rPr>
                <w:sz w:val="18"/>
                <w:szCs w:val="18"/>
              </w:rPr>
              <w:t>Sumberg</w:t>
            </w:r>
            <w:proofErr w:type="spellEnd"/>
            <w:r>
              <w:rPr>
                <w:sz w:val="18"/>
                <w:szCs w:val="18"/>
              </w:rPr>
              <w:t xml:space="preserve"> 2002; Hall et al 2007)</w:t>
            </w:r>
            <w:r w:rsidRPr="00296143">
              <w:rPr>
                <w:sz w:val="18"/>
                <w:szCs w:val="18"/>
              </w:rPr>
              <w:t xml:space="preserve">. </w:t>
            </w:r>
            <w:r>
              <w:rPr>
                <w:sz w:val="18"/>
                <w:szCs w:val="18"/>
              </w:rPr>
              <w:t xml:space="preserve"> </w:t>
            </w:r>
            <w:r w:rsidRPr="00296143">
              <w:rPr>
                <w:sz w:val="18"/>
                <w:szCs w:val="18"/>
              </w:rPr>
              <w:t xml:space="preserve">In many cases, such limited success is attributed to the lack of appropriate and responsive solutions – which in the proposed research is mitigated by activities described in cluster 1 and ensuring that information from this work as well as cluster 1 of </w:t>
            </w:r>
            <w:r w:rsidR="0080437D">
              <w:rPr>
                <w:sz w:val="18"/>
                <w:szCs w:val="18"/>
              </w:rPr>
              <w:t>LLAFS</w:t>
            </w:r>
            <w:r w:rsidRPr="00296143">
              <w:rPr>
                <w:sz w:val="18"/>
                <w:szCs w:val="18"/>
              </w:rPr>
              <w:t xml:space="preserve"> is used to adjust approaches. It is also mitigated by having feeds work bundled with other technological solutions and developed in the context of wider livelihood, food security and poverty reduction ambitions as described in </w:t>
            </w:r>
            <w:r w:rsidR="0080437D">
              <w:rPr>
                <w:sz w:val="18"/>
                <w:szCs w:val="18"/>
              </w:rPr>
              <w:t>the LLAFS flagship</w:t>
            </w:r>
            <w:r w:rsidRPr="00296143">
              <w:rPr>
                <w:sz w:val="18"/>
                <w:szCs w:val="18"/>
              </w:rPr>
              <w:t xml:space="preserve">. A second constraint to scalable, sustainable feed solutions relates to delivery and business solutions which are addressed as above. </w:t>
            </w:r>
          </w:p>
          <w:p w14:paraId="0C5D7B2B" w14:textId="77777777" w:rsidR="00F04D52" w:rsidRDefault="00F04D52" w:rsidP="00F04D52">
            <w:pPr>
              <w:rPr>
                <w:sz w:val="18"/>
                <w:szCs w:val="18"/>
              </w:rPr>
            </w:pPr>
          </w:p>
          <w:p w14:paraId="794AE39B" w14:textId="77777777" w:rsidR="00F04D52" w:rsidRPr="003B2399" w:rsidRDefault="00F04D52" w:rsidP="00F04D52">
            <w:pPr>
              <w:rPr>
                <w:b/>
                <w:sz w:val="18"/>
                <w:szCs w:val="18"/>
              </w:rPr>
            </w:pPr>
            <w:r w:rsidRPr="003B2399">
              <w:rPr>
                <w:b/>
                <w:sz w:val="18"/>
                <w:szCs w:val="18"/>
              </w:rPr>
              <w:t>References</w:t>
            </w:r>
          </w:p>
          <w:p w14:paraId="490A99FC" w14:textId="77777777" w:rsidR="00F04D52" w:rsidRDefault="00F04D52" w:rsidP="00F04D52">
            <w:pPr>
              <w:rPr>
                <w:sz w:val="18"/>
                <w:szCs w:val="18"/>
              </w:rPr>
            </w:pPr>
          </w:p>
          <w:p w14:paraId="5A71AFE5" w14:textId="77777777" w:rsidR="003B2399" w:rsidRPr="003B2399" w:rsidRDefault="003B2399" w:rsidP="003B2399">
            <w:pPr>
              <w:pStyle w:val="ListParagraph"/>
              <w:numPr>
                <w:ilvl w:val="0"/>
                <w:numId w:val="30"/>
              </w:numPr>
              <w:rPr>
                <w:sz w:val="18"/>
                <w:szCs w:val="18"/>
              </w:rPr>
            </w:pPr>
            <w:proofErr w:type="spellStart"/>
            <w:r w:rsidRPr="003B2399">
              <w:rPr>
                <w:sz w:val="18"/>
                <w:szCs w:val="18"/>
              </w:rPr>
              <w:t>Aruna</w:t>
            </w:r>
            <w:proofErr w:type="spellEnd"/>
            <w:r w:rsidRPr="003B2399">
              <w:rPr>
                <w:sz w:val="18"/>
                <w:szCs w:val="18"/>
              </w:rPr>
              <w:t xml:space="preserve">, C., </w:t>
            </w:r>
            <w:proofErr w:type="spellStart"/>
            <w:r w:rsidRPr="003B2399">
              <w:rPr>
                <w:sz w:val="18"/>
                <w:szCs w:val="18"/>
              </w:rPr>
              <w:t>Swarnalatha</w:t>
            </w:r>
            <w:proofErr w:type="spellEnd"/>
            <w:r w:rsidRPr="003B2399">
              <w:rPr>
                <w:sz w:val="18"/>
                <w:szCs w:val="18"/>
              </w:rPr>
              <w:t xml:space="preserve">, M., Kumar, P. P., </w:t>
            </w:r>
            <w:proofErr w:type="spellStart"/>
            <w:r w:rsidRPr="003B2399">
              <w:rPr>
                <w:sz w:val="18"/>
                <w:szCs w:val="18"/>
              </w:rPr>
              <w:t>Devender</w:t>
            </w:r>
            <w:proofErr w:type="spellEnd"/>
            <w:r w:rsidRPr="003B2399">
              <w:rPr>
                <w:sz w:val="18"/>
                <w:szCs w:val="18"/>
              </w:rPr>
              <w:t xml:space="preserve">, V., </w:t>
            </w:r>
            <w:proofErr w:type="spellStart"/>
            <w:r w:rsidRPr="003B2399">
              <w:rPr>
                <w:sz w:val="18"/>
                <w:szCs w:val="18"/>
              </w:rPr>
              <w:t>Suguna</w:t>
            </w:r>
            <w:proofErr w:type="spellEnd"/>
            <w:r w:rsidRPr="003B2399">
              <w:rPr>
                <w:sz w:val="18"/>
                <w:szCs w:val="18"/>
              </w:rPr>
              <w:t xml:space="preserve">, M., </w:t>
            </w:r>
            <w:proofErr w:type="spellStart"/>
            <w:r w:rsidRPr="003B2399">
              <w:rPr>
                <w:sz w:val="18"/>
                <w:szCs w:val="18"/>
              </w:rPr>
              <w:t>Blümmel</w:t>
            </w:r>
            <w:proofErr w:type="spellEnd"/>
            <w:r w:rsidRPr="003B2399">
              <w:rPr>
                <w:sz w:val="18"/>
                <w:szCs w:val="18"/>
              </w:rPr>
              <w:t xml:space="preserve">, M., and </w:t>
            </w:r>
            <w:proofErr w:type="spellStart"/>
            <w:r w:rsidRPr="003B2399">
              <w:rPr>
                <w:sz w:val="18"/>
                <w:szCs w:val="18"/>
              </w:rPr>
              <w:t>Patil</w:t>
            </w:r>
            <w:proofErr w:type="spellEnd"/>
            <w:r w:rsidRPr="003B2399">
              <w:rPr>
                <w:sz w:val="18"/>
                <w:szCs w:val="18"/>
              </w:rPr>
              <w:t xml:space="preserve">, J.V. 2015. Genetic options for improving fodder yield and quality in forage sorghum. </w:t>
            </w:r>
            <w:r w:rsidRPr="003B2399">
              <w:rPr>
                <w:i/>
                <w:iCs/>
                <w:sz w:val="18"/>
                <w:szCs w:val="18"/>
              </w:rPr>
              <w:t>Tropical Grasslands-</w:t>
            </w:r>
            <w:proofErr w:type="spellStart"/>
            <w:r w:rsidRPr="003B2399">
              <w:rPr>
                <w:i/>
                <w:iCs/>
                <w:sz w:val="18"/>
                <w:szCs w:val="18"/>
              </w:rPr>
              <w:t>Forrajes</w:t>
            </w:r>
            <w:proofErr w:type="spellEnd"/>
            <w:r w:rsidRPr="003B2399">
              <w:rPr>
                <w:i/>
                <w:iCs/>
                <w:sz w:val="18"/>
                <w:szCs w:val="18"/>
              </w:rPr>
              <w:t xml:space="preserve"> </w:t>
            </w:r>
            <w:proofErr w:type="spellStart"/>
            <w:r w:rsidRPr="003B2399">
              <w:rPr>
                <w:i/>
                <w:iCs/>
                <w:sz w:val="18"/>
                <w:szCs w:val="18"/>
              </w:rPr>
              <w:t>Tropicales</w:t>
            </w:r>
            <w:proofErr w:type="spellEnd"/>
            <w:r w:rsidRPr="003B2399">
              <w:rPr>
                <w:sz w:val="18"/>
                <w:szCs w:val="18"/>
              </w:rPr>
              <w:t xml:space="preserve"> </w:t>
            </w:r>
            <w:r w:rsidRPr="003B2399">
              <w:rPr>
                <w:i/>
                <w:iCs/>
                <w:sz w:val="18"/>
                <w:szCs w:val="18"/>
              </w:rPr>
              <w:t>3</w:t>
            </w:r>
            <w:r w:rsidRPr="003B2399">
              <w:rPr>
                <w:sz w:val="18"/>
                <w:szCs w:val="18"/>
              </w:rPr>
              <w:t>(1): 49-58.</w:t>
            </w:r>
          </w:p>
          <w:p w14:paraId="3EDE4843" w14:textId="77777777" w:rsidR="003B2399" w:rsidRPr="003B2399" w:rsidRDefault="003B2399" w:rsidP="003B2399">
            <w:pPr>
              <w:pStyle w:val="ListParagraph"/>
              <w:numPr>
                <w:ilvl w:val="0"/>
                <w:numId w:val="30"/>
              </w:numPr>
              <w:rPr>
                <w:rFonts w:eastAsia="Times New Roman" w:cs="Times New Roman"/>
                <w:sz w:val="18"/>
                <w:szCs w:val="18"/>
                <w:lang w:val="en-US"/>
              </w:rPr>
            </w:pPr>
            <w:proofErr w:type="spellStart"/>
            <w:r w:rsidRPr="003B2399">
              <w:rPr>
                <w:sz w:val="18"/>
                <w:szCs w:val="18"/>
              </w:rPr>
              <w:t>Ayele</w:t>
            </w:r>
            <w:proofErr w:type="spellEnd"/>
            <w:r w:rsidRPr="003B2399">
              <w:rPr>
                <w:sz w:val="18"/>
                <w:szCs w:val="18"/>
              </w:rPr>
              <w:t xml:space="preserve">, S., Duncan, A.J., Larbi, A. and Truong Tan </w:t>
            </w:r>
            <w:proofErr w:type="spellStart"/>
            <w:r w:rsidRPr="003B2399">
              <w:rPr>
                <w:sz w:val="18"/>
                <w:szCs w:val="18"/>
              </w:rPr>
              <w:t>Khanh</w:t>
            </w:r>
            <w:proofErr w:type="spellEnd"/>
            <w:r w:rsidRPr="003B2399">
              <w:rPr>
                <w:sz w:val="18"/>
                <w:szCs w:val="18"/>
              </w:rPr>
              <w:t>. 2012. Enhancing innovation in livestock value chains through networks: Lessons from fodder innovation case studies in developing countries. Science and Public Policy 39(3):333-346.</w:t>
            </w:r>
          </w:p>
          <w:p w14:paraId="748C1A0D" w14:textId="77777777" w:rsidR="003B2399" w:rsidRPr="003B2399" w:rsidRDefault="003B2399" w:rsidP="003B2399">
            <w:pPr>
              <w:pStyle w:val="ListParagraph"/>
              <w:numPr>
                <w:ilvl w:val="0"/>
                <w:numId w:val="30"/>
              </w:numPr>
              <w:rPr>
                <w:rFonts w:eastAsia="Times New Roman" w:cs="Times New Roman"/>
                <w:sz w:val="18"/>
                <w:szCs w:val="18"/>
                <w:lang w:val="en-US"/>
              </w:rPr>
            </w:pPr>
            <w:proofErr w:type="spellStart"/>
            <w:r w:rsidRPr="003B2399">
              <w:rPr>
                <w:sz w:val="18"/>
                <w:szCs w:val="18"/>
              </w:rPr>
              <w:t>Bramwel</w:t>
            </w:r>
            <w:proofErr w:type="spellEnd"/>
            <w:r w:rsidRPr="003B2399">
              <w:rPr>
                <w:sz w:val="18"/>
                <w:szCs w:val="18"/>
              </w:rPr>
              <w:t xml:space="preserve">, W., </w:t>
            </w:r>
            <w:proofErr w:type="spellStart"/>
            <w:r w:rsidRPr="003B2399">
              <w:rPr>
                <w:sz w:val="18"/>
                <w:szCs w:val="18"/>
              </w:rPr>
              <w:t>Wanjala</w:t>
            </w:r>
            <w:proofErr w:type="spellEnd"/>
            <w:r w:rsidRPr="003B2399">
              <w:rPr>
                <w:sz w:val="18"/>
                <w:szCs w:val="18"/>
              </w:rPr>
              <w:t xml:space="preserve">, B.W., </w:t>
            </w:r>
            <w:proofErr w:type="spellStart"/>
            <w:r w:rsidRPr="003B2399">
              <w:rPr>
                <w:sz w:val="18"/>
                <w:szCs w:val="18"/>
              </w:rPr>
              <w:t>Obonyo</w:t>
            </w:r>
            <w:proofErr w:type="spellEnd"/>
            <w:r w:rsidRPr="003B2399">
              <w:rPr>
                <w:sz w:val="18"/>
                <w:szCs w:val="18"/>
              </w:rPr>
              <w:t xml:space="preserve">, M., Wachira, F.N., </w:t>
            </w:r>
            <w:proofErr w:type="spellStart"/>
            <w:r w:rsidRPr="003B2399">
              <w:rPr>
                <w:sz w:val="18"/>
                <w:szCs w:val="18"/>
              </w:rPr>
              <w:t>Muchugi</w:t>
            </w:r>
            <w:proofErr w:type="spellEnd"/>
            <w:r w:rsidRPr="003B2399">
              <w:rPr>
                <w:sz w:val="18"/>
                <w:szCs w:val="18"/>
              </w:rPr>
              <w:t xml:space="preserve">, A., </w:t>
            </w:r>
            <w:proofErr w:type="spellStart"/>
            <w:r w:rsidRPr="003B2399">
              <w:rPr>
                <w:sz w:val="18"/>
                <w:szCs w:val="18"/>
              </w:rPr>
              <w:t>Mulaa</w:t>
            </w:r>
            <w:proofErr w:type="spellEnd"/>
            <w:r w:rsidRPr="003B2399">
              <w:rPr>
                <w:sz w:val="18"/>
                <w:szCs w:val="18"/>
              </w:rPr>
              <w:t>, M., Harvey, J., Skilton, R.A., Proud, J. and Hanson, J. 2013. Genetic diversity in Napier grass (</w:t>
            </w:r>
            <w:proofErr w:type="spellStart"/>
            <w:r w:rsidRPr="003B2399">
              <w:rPr>
                <w:sz w:val="18"/>
                <w:szCs w:val="18"/>
              </w:rPr>
              <w:t>Pennisetum</w:t>
            </w:r>
            <w:proofErr w:type="spellEnd"/>
            <w:r w:rsidRPr="003B2399">
              <w:rPr>
                <w:sz w:val="18"/>
                <w:szCs w:val="18"/>
              </w:rPr>
              <w:t xml:space="preserve"> purpureum) cultivars: Implications for breeding and conservation. </w:t>
            </w:r>
            <w:proofErr w:type="spellStart"/>
            <w:r w:rsidRPr="003B2399">
              <w:rPr>
                <w:sz w:val="18"/>
                <w:szCs w:val="18"/>
              </w:rPr>
              <w:t>AoB</w:t>
            </w:r>
            <w:proofErr w:type="spellEnd"/>
            <w:r w:rsidRPr="003B2399">
              <w:rPr>
                <w:sz w:val="18"/>
                <w:szCs w:val="18"/>
              </w:rPr>
              <w:t xml:space="preserve"> PLANTS 5 : plt022</w:t>
            </w:r>
            <w:r w:rsidRPr="003B2399">
              <w:rPr>
                <w:rFonts w:eastAsia="Times New Roman" w:cs="Times New Roman"/>
                <w:sz w:val="18"/>
                <w:szCs w:val="18"/>
                <w:lang w:val="en-US"/>
              </w:rPr>
              <w:t xml:space="preserve"> </w:t>
            </w:r>
          </w:p>
          <w:p w14:paraId="5675D5EE" w14:textId="3DD05318" w:rsidR="003B2399" w:rsidRPr="003B2399" w:rsidRDefault="003B2399" w:rsidP="003B2399">
            <w:pPr>
              <w:pStyle w:val="ListParagraph"/>
              <w:numPr>
                <w:ilvl w:val="0"/>
                <w:numId w:val="30"/>
              </w:numPr>
              <w:rPr>
                <w:rFonts w:eastAsia="Times New Roman" w:cs="Times New Roman"/>
                <w:sz w:val="18"/>
                <w:szCs w:val="18"/>
                <w:lang w:val="en-US"/>
              </w:rPr>
            </w:pPr>
            <w:proofErr w:type="spellStart"/>
            <w:r w:rsidRPr="003B2399">
              <w:rPr>
                <w:rFonts w:eastAsia="Times New Roman" w:cs="Times New Roman"/>
                <w:sz w:val="18"/>
                <w:szCs w:val="18"/>
                <w:lang w:val="en-US"/>
              </w:rPr>
              <w:t>Lenné</w:t>
            </w:r>
            <w:proofErr w:type="spellEnd"/>
            <w:r w:rsidRPr="003B2399">
              <w:rPr>
                <w:rFonts w:eastAsia="Times New Roman" w:cs="Times New Roman"/>
                <w:sz w:val="18"/>
                <w:szCs w:val="18"/>
                <w:lang w:val="en-US"/>
              </w:rPr>
              <w:t xml:space="preserve">, J. M., Fernandez-Rivera, S., and </w:t>
            </w:r>
            <w:proofErr w:type="spellStart"/>
            <w:r w:rsidRPr="003B2399">
              <w:rPr>
                <w:rFonts w:eastAsia="Times New Roman" w:cs="Times New Roman"/>
                <w:sz w:val="18"/>
                <w:szCs w:val="18"/>
                <w:lang w:val="en-US"/>
              </w:rPr>
              <w:t>Blümmel</w:t>
            </w:r>
            <w:proofErr w:type="spellEnd"/>
            <w:r w:rsidRPr="003B2399">
              <w:rPr>
                <w:rFonts w:eastAsia="Times New Roman" w:cs="Times New Roman"/>
                <w:sz w:val="18"/>
                <w:szCs w:val="18"/>
                <w:lang w:val="en-US"/>
              </w:rPr>
              <w:t xml:space="preserve">, M. 2003. Approaches to improve the utilization of food–feed crops—synthesis. </w:t>
            </w:r>
            <w:r w:rsidRPr="003B2399">
              <w:rPr>
                <w:rFonts w:eastAsia="Times New Roman" w:cs="Times New Roman"/>
                <w:i/>
                <w:iCs/>
                <w:sz w:val="18"/>
                <w:szCs w:val="18"/>
                <w:lang w:val="en-US"/>
              </w:rPr>
              <w:t>Field Crops Research</w:t>
            </w:r>
            <w:r w:rsidRPr="003B2399">
              <w:rPr>
                <w:rFonts w:eastAsia="Times New Roman" w:cs="Times New Roman"/>
                <w:sz w:val="18"/>
                <w:szCs w:val="18"/>
                <w:lang w:val="en-US"/>
              </w:rPr>
              <w:t xml:space="preserve"> 84(1): 213-222.</w:t>
            </w:r>
          </w:p>
          <w:p w14:paraId="400A2E24" w14:textId="77777777" w:rsidR="003B2399" w:rsidRPr="003B2399" w:rsidRDefault="003B2399" w:rsidP="003B2399">
            <w:pPr>
              <w:pStyle w:val="ListParagraph"/>
              <w:numPr>
                <w:ilvl w:val="0"/>
                <w:numId w:val="30"/>
              </w:numPr>
              <w:autoSpaceDE w:val="0"/>
              <w:autoSpaceDN w:val="0"/>
              <w:adjustRightInd w:val="0"/>
              <w:spacing w:after="240"/>
              <w:rPr>
                <w:rFonts w:cs="Arial"/>
                <w:sz w:val="18"/>
                <w:szCs w:val="18"/>
                <w:lang w:val="en-US"/>
              </w:rPr>
            </w:pPr>
            <w:r w:rsidRPr="003B2399">
              <w:rPr>
                <w:rFonts w:cs="Arial"/>
                <w:sz w:val="18"/>
                <w:szCs w:val="18"/>
                <w:lang w:val="en-US"/>
              </w:rPr>
              <w:t xml:space="preserve">Hall, R. </w:t>
            </w:r>
            <w:proofErr w:type="spellStart"/>
            <w:r w:rsidRPr="003B2399">
              <w:rPr>
                <w:rFonts w:cs="Arial"/>
                <w:sz w:val="18"/>
                <w:szCs w:val="18"/>
                <w:lang w:val="en-US"/>
              </w:rPr>
              <w:t>Sulaiman</w:t>
            </w:r>
            <w:proofErr w:type="spellEnd"/>
            <w:r w:rsidRPr="003B2399">
              <w:rPr>
                <w:rFonts w:cs="Arial"/>
                <w:sz w:val="18"/>
                <w:szCs w:val="18"/>
                <w:lang w:val="en-US"/>
              </w:rPr>
              <w:t xml:space="preserve">, and P. </w:t>
            </w:r>
            <w:proofErr w:type="spellStart"/>
            <w:r w:rsidRPr="003B2399">
              <w:rPr>
                <w:rFonts w:cs="Arial"/>
                <w:sz w:val="18"/>
                <w:szCs w:val="18"/>
                <w:lang w:val="en-US"/>
              </w:rPr>
              <w:t>Bezkorowajnyj</w:t>
            </w:r>
            <w:proofErr w:type="spellEnd"/>
            <w:r w:rsidRPr="003B2399">
              <w:rPr>
                <w:rFonts w:cs="Arial"/>
                <w:sz w:val="18"/>
                <w:szCs w:val="18"/>
                <w:lang w:val="en-US"/>
              </w:rPr>
              <w:t xml:space="preserve">. 2007. Reframing technical change: Livestock Fodder Scarcity Revisited as Innovation Capacity Scarcity. Addis Ababa: CGIAR </w:t>
            </w:r>
            <w:proofErr w:type="spellStart"/>
            <w:r w:rsidRPr="003B2399">
              <w:rPr>
                <w:rFonts w:cs="Arial"/>
                <w:sz w:val="18"/>
                <w:szCs w:val="18"/>
                <w:lang w:val="en-US"/>
              </w:rPr>
              <w:t>Systemwide</w:t>
            </w:r>
            <w:proofErr w:type="spellEnd"/>
            <w:r w:rsidRPr="003B2399">
              <w:rPr>
                <w:rFonts w:cs="Arial"/>
                <w:sz w:val="18"/>
                <w:szCs w:val="18"/>
                <w:lang w:val="en-US"/>
              </w:rPr>
              <w:t xml:space="preserve"> Livestock </w:t>
            </w:r>
            <w:proofErr w:type="spellStart"/>
            <w:r w:rsidRPr="003B2399">
              <w:rPr>
                <w:rFonts w:cs="Arial"/>
                <w:sz w:val="18"/>
                <w:szCs w:val="18"/>
                <w:lang w:val="en-US"/>
              </w:rPr>
              <w:t>Programme</w:t>
            </w:r>
            <w:proofErr w:type="spellEnd"/>
            <w:r w:rsidRPr="003B2399">
              <w:rPr>
                <w:rFonts w:cs="Arial"/>
                <w:sz w:val="18"/>
                <w:szCs w:val="18"/>
                <w:lang w:val="en-US"/>
              </w:rPr>
              <w:t>. 1-52, 2007.</w:t>
            </w:r>
          </w:p>
          <w:p w14:paraId="26741782" w14:textId="77777777" w:rsidR="003B2399" w:rsidRPr="003B2399" w:rsidRDefault="003B2399" w:rsidP="003B2399">
            <w:pPr>
              <w:pStyle w:val="ListParagraph"/>
              <w:numPr>
                <w:ilvl w:val="0"/>
                <w:numId w:val="30"/>
              </w:numPr>
              <w:rPr>
                <w:rFonts w:eastAsia="Times New Roman" w:cs="Times New Roman"/>
                <w:sz w:val="18"/>
                <w:szCs w:val="18"/>
                <w:lang w:val="en-US"/>
              </w:rPr>
            </w:pPr>
            <w:r w:rsidRPr="003B2399">
              <w:rPr>
                <w:sz w:val="18"/>
                <w:szCs w:val="18"/>
              </w:rPr>
              <w:t xml:space="preserve">Kebebe, E., Duncan, A.J., Klerkx, L., Boer, I.J.M. de and </w:t>
            </w:r>
            <w:proofErr w:type="spellStart"/>
            <w:r w:rsidRPr="003B2399">
              <w:rPr>
                <w:sz w:val="18"/>
                <w:szCs w:val="18"/>
              </w:rPr>
              <w:t>Oosting</w:t>
            </w:r>
            <w:proofErr w:type="spellEnd"/>
            <w:r w:rsidRPr="003B2399">
              <w:rPr>
                <w:sz w:val="18"/>
                <w:szCs w:val="18"/>
              </w:rPr>
              <w:t>, S.J. 2015. Understanding socio-economic and policy constraints to dairy development in Ethiopia: A coupled functional-structural innovation systems analysis. Agricultural Systems 141:69–78</w:t>
            </w:r>
            <w:r w:rsidRPr="003B2399">
              <w:rPr>
                <w:rFonts w:cs="Arial"/>
                <w:sz w:val="18"/>
                <w:szCs w:val="18"/>
                <w:lang w:val="en-US"/>
              </w:rPr>
              <w:t xml:space="preserve"> </w:t>
            </w:r>
          </w:p>
          <w:p w14:paraId="6D8F5EFA" w14:textId="77777777" w:rsidR="003B2399" w:rsidRPr="003B2399" w:rsidRDefault="003B2399" w:rsidP="003B2399">
            <w:pPr>
              <w:pStyle w:val="ListParagraph"/>
              <w:numPr>
                <w:ilvl w:val="0"/>
                <w:numId w:val="30"/>
              </w:numPr>
              <w:rPr>
                <w:sz w:val="18"/>
                <w:szCs w:val="18"/>
              </w:rPr>
            </w:pPr>
            <w:r w:rsidRPr="003B2399">
              <w:rPr>
                <w:sz w:val="18"/>
                <w:szCs w:val="18"/>
              </w:rPr>
              <w:lastRenderedPageBreak/>
              <w:t xml:space="preserve">Lukuyu, B.A., Ravichandran, T., Maass, B., Laswai, G., </w:t>
            </w:r>
            <w:proofErr w:type="spellStart"/>
            <w:r w:rsidRPr="003B2399">
              <w:rPr>
                <w:sz w:val="18"/>
                <w:szCs w:val="18"/>
              </w:rPr>
              <w:t>Bwire</w:t>
            </w:r>
            <w:proofErr w:type="spellEnd"/>
            <w:r w:rsidRPr="003B2399">
              <w:rPr>
                <w:sz w:val="18"/>
                <w:szCs w:val="18"/>
              </w:rPr>
              <w:t xml:space="preserve">, J. and Duncan, A.J. 2015. Enhancing livestock productivity through feed and feeding interventions in India and Tanzania. ILRI Project Report. Nairobi, Kenya: ILRI </w:t>
            </w:r>
          </w:p>
          <w:p w14:paraId="10201E6A" w14:textId="77777777" w:rsidR="003B2399" w:rsidRPr="003B2399" w:rsidRDefault="003B2399" w:rsidP="003B2399">
            <w:pPr>
              <w:pStyle w:val="ListParagraph"/>
              <w:numPr>
                <w:ilvl w:val="0"/>
                <w:numId w:val="30"/>
              </w:numPr>
              <w:rPr>
                <w:sz w:val="18"/>
                <w:szCs w:val="18"/>
              </w:rPr>
            </w:pPr>
            <w:r w:rsidRPr="003B2399">
              <w:rPr>
                <w:sz w:val="18"/>
                <w:szCs w:val="18"/>
              </w:rPr>
              <w:t xml:space="preserve">Maass, Brigitte L.; </w:t>
            </w:r>
            <w:proofErr w:type="spellStart"/>
            <w:r w:rsidRPr="003B2399">
              <w:rPr>
                <w:sz w:val="18"/>
                <w:szCs w:val="18"/>
              </w:rPr>
              <w:t>Midega</w:t>
            </w:r>
            <w:proofErr w:type="spellEnd"/>
            <w:r w:rsidRPr="003B2399">
              <w:rPr>
                <w:sz w:val="18"/>
                <w:szCs w:val="18"/>
              </w:rPr>
              <w:t xml:space="preserve">, C. A. O.; </w:t>
            </w:r>
            <w:proofErr w:type="spellStart"/>
            <w:r w:rsidRPr="003B2399">
              <w:rPr>
                <w:sz w:val="18"/>
                <w:szCs w:val="18"/>
              </w:rPr>
              <w:t>Mutimura</w:t>
            </w:r>
            <w:proofErr w:type="spellEnd"/>
            <w:r w:rsidRPr="003B2399">
              <w:rPr>
                <w:sz w:val="18"/>
                <w:szCs w:val="18"/>
              </w:rPr>
              <w:t xml:space="preserve">, M.; </w:t>
            </w:r>
            <w:proofErr w:type="spellStart"/>
            <w:r w:rsidRPr="003B2399">
              <w:rPr>
                <w:sz w:val="18"/>
                <w:szCs w:val="18"/>
              </w:rPr>
              <w:t>Rahetlah</w:t>
            </w:r>
            <w:proofErr w:type="spellEnd"/>
            <w:r w:rsidRPr="003B2399">
              <w:rPr>
                <w:sz w:val="18"/>
                <w:szCs w:val="18"/>
              </w:rPr>
              <w:t xml:space="preserve">, V. B.; Salgado, P.; </w:t>
            </w:r>
            <w:proofErr w:type="spellStart"/>
            <w:r w:rsidRPr="003B2399">
              <w:rPr>
                <w:sz w:val="18"/>
                <w:szCs w:val="18"/>
              </w:rPr>
              <w:t>Kabirizi</w:t>
            </w:r>
            <w:proofErr w:type="spellEnd"/>
            <w:r w:rsidRPr="003B2399">
              <w:rPr>
                <w:sz w:val="18"/>
                <w:szCs w:val="18"/>
              </w:rPr>
              <w:t xml:space="preserve">, J. M.; Khan, Z. R.; Ghimire, S. R.; Rao, Idupulapati </w:t>
            </w:r>
            <w:proofErr w:type="spellStart"/>
            <w:r w:rsidRPr="003B2399">
              <w:rPr>
                <w:sz w:val="18"/>
                <w:szCs w:val="18"/>
              </w:rPr>
              <w:t>Madhusudana</w:t>
            </w:r>
            <w:proofErr w:type="spellEnd"/>
            <w:r w:rsidRPr="003B2399">
              <w:rPr>
                <w:sz w:val="18"/>
                <w:szCs w:val="18"/>
              </w:rPr>
              <w:t xml:space="preserve">. 2015. Homecoming of </w:t>
            </w:r>
            <w:proofErr w:type="spellStart"/>
            <w:r w:rsidRPr="003B2399">
              <w:rPr>
                <w:sz w:val="18"/>
                <w:szCs w:val="18"/>
              </w:rPr>
              <w:t>brachiaria</w:t>
            </w:r>
            <w:proofErr w:type="spellEnd"/>
            <w:r w:rsidRPr="003B2399">
              <w:rPr>
                <w:sz w:val="18"/>
                <w:szCs w:val="18"/>
              </w:rPr>
              <w:t xml:space="preserve">: improved hybrids prove useful for African animal agriculture. East African Agricultural and Forestry Journal 81(1): 71-78. </w:t>
            </w:r>
          </w:p>
          <w:p w14:paraId="7DAB47CB" w14:textId="3B3B8F64" w:rsidR="003B2399" w:rsidRPr="003B2399" w:rsidRDefault="003B2399" w:rsidP="003B2399">
            <w:pPr>
              <w:pStyle w:val="ListParagraph"/>
              <w:numPr>
                <w:ilvl w:val="0"/>
                <w:numId w:val="30"/>
              </w:numPr>
              <w:rPr>
                <w:sz w:val="18"/>
                <w:szCs w:val="18"/>
              </w:rPr>
            </w:pPr>
            <w:r w:rsidRPr="003B2399">
              <w:rPr>
                <w:sz w:val="18"/>
                <w:szCs w:val="18"/>
              </w:rPr>
              <w:t xml:space="preserve">Okike, I., Samireddypalle, A., </w:t>
            </w:r>
            <w:proofErr w:type="spellStart"/>
            <w:r w:rsidRPr="003B2399">
              <w:rPr>
                <w:sz w:val="18"/>
                <w:szCs w:val="18"/>
              </w:rPr>
              <w:t>Kaptoge</w:t>
            </w:r>
            <w:proofErr w:type="spellEnd"/>
            <w:r w:rsidRPr="003B2399">
              <w:rPr>
                <w:sz w:val="18"/>
                <w:szCs w:val="18"/>
              </w:rPr>
              <w:t xml:space="preserve">, L., </w:t>
            </w:r>
            <w:proofErr w:type="spellStart"/>
            <w:r w:rsidRPr="003B2399">
              <w:rPr>
                <w:sz w:val="18"/>
                <w:szCs w:val="18"/>
              </w:rPr>
              <w:t>Fauquet</w:t>
            </w:r>
            <w:proofErr w:type="spellEnd"/>
            <w:r w:rsidRPr="003B2399">
              <w:rPr>
                <w:sz w:val="18"/>
                <w:szCs w:val="18"/>
              </w:rPr>
              <w:t xml:space="preserve">, C., </w:t>
            </w:r>
            <w:proofErr w:type="spellStart"/>
            <w:r w:rsidRPr="003B2399">
              <w:rPr>
                <w:sz w:val="18"/>
                <w:szCs w:val="18"/>
              </w:rPr>
              <w:t>Atehnkeng</w:t>
            </w:r>
            <w:proofErr w:type="spellEnd"/>
            <w:r w:rsidRPr="003B2399">
              <w:rPr>
                <w:sz w:val="18"/>
                <w:szCs w:val="18"/>
              </w:rPr>
              <w:t xml:space="preserve">, J., Bandyopadhyay, R., </w:t>
            </w:r>
            <w:proofErr w:type="spellStart"/>
            <w:r w:rsidRPr="003B2399">
              <w:rPr>
                <w:sz w:val="18"/>
                <w:szCs w:val="18"/>
              </w:rPr>
              <w:t>Kulakow</w:t>
            </w:r>
            <w:proofErr w:type="spellEnd"/>
            <w:r w:rsidRPr="003B2399">
              <w:rPr>
                <w:sz w:val="18"/>
                <w:szCs w:val="18"/>
              </w:rPr>
              <w:t xml:space="preserve">, P., Duncan, A.J., </w:t>
            </w:r>
            <w:proofErr w:type="spellStart"/>
            <w:r w:rsidRPr="003B2399">
              <w:rPr>
                <w:sz w:val="18"/>
                <w:szCs w:val="18"/>
              </w:rPr>
              <w:t>Alabi</w:t>
            </w:r>
            <w:proofErr w:type="spellEnd"/>
            <w:r w:rsidRPr="003B2399">
              <w:rPr>
                <w:sz w:val="18"/>
                <w:szCs w:val="18"/>
              </w:rPr>
              <w:t xml:space="preserve">, T. and Blummel, M. 2015. Technical innovations for small-scale producers and households to process wet cassava peels into high quality animal feed ingredients and </w:t>
            </w:r>
            <w:proofErr w:type="spellStart"/>
            <w:r w:rsidRPr="003B2399">
              <w:rPr>
                <w:sz w:val="18"/>
                <w:szCs w:val="18"/>
              </w:rPr>
              <w:t>aflasafe</w:t>
            </w:r>
            <w:proofErr w:type="spellEnd"/>
            <w:r w:rsidRPr="003B2399">
              <w:rPr>
                <w:sz w:val="18"/>
                <w:szCs w:val="18"/>
              </w:rPr>
              <w:t xml:space="preserve"> substrate. Food Chain 5(1-2): 71-90 </w:t>
            </w:r>
          </w:p>
          <w:p w14:paraId="00AC7287" w14:textId="77777777" w:rsidR="003B2399" w:rsidRPr="003B2399" w:rsidRDefault="003B2399" w:rsidP="003B2399">
            <w:pPr>
              <w:pStyle w:val="ListParagraph"/>
              <w:numPr>
                <w:ilvl w:val="0"/>
                <w:numId w:val="30"/>
              </w:numPr>
              <w:autoSpaceDE w:val="0"/>
              <w:autoSpaceDN w:val="0"/>
              <w:adjustRightInd w:val="0"/>
              <w:spacing w:after="240"/>
              <w:rPr>
                <w:sz w:val="18"/>
                <w:szCs w:val="18"/>
              </w:rPr>
            </w:pPr>
            <w:proofErr w:type="spellStart"/>
            <w:r w:rsidRPr="003B2399">
              <w:rPr>
                <w:sz w:val="18"/>
                <w:szCs w:val="18"/>
              </w:rPr>
              <w:t>Shikuku</w:t>
            </w:r>
            <w:proofErr w:type="spellEnd"/>
            <w:r w:rsidRPr="003B2399">
              <w:rPr>
                <w:sz w:val="18"/>
                <w:szCs w:val="18"/>
              </w:rPr>
              <w:t>, K</w:t>
            </w:r>
            <w:r>
              <w:rPr>
                <w:sz w:val="18"/>
                <w:szCs w:val="18"/>
              </w:rPr>
              <w:t>.</w:t>
            </w:r>
            <w:r w:rsidRPr="003B2399">
              <w:rPr>
                <w:sz w:val="18"/>
                <w:szCs w:val="18"/>
              </w:rPr>
              <w:t>M.</w:t>
            </w:r>
            <w:r>
              <w:rPr>
                <w:sz w:val="18"/>
                <w:szCs w:val="18"/>
              </w:rPr>
              <w:t xml:space="preserve">, </w:t>
            </w:r>
            <w:r w:rsidRPr="003B2399">
              <w:rPr>
                <w:sz w:val="18"/>
                <w:szCs w:val="18"/>
              </w:rPr>
              <w:t>Valdivia, R</w:t>
            </w:r>
            <w:r>
              <w:rPr>
                <w:sz w:val="18"/>
                <w:szCs w:val="18"/>
              </w:rPr>
              <w:t>.</w:t>
            </w:r>
            <w:r w:rsidRPr="003B2399">
              <w:rPr>
                <w:sz w:val="18"/>
                <w:szCs w:val="18"/>
              </w:rPr>
              <w:t>O.</w:t>
            </w:r>
            <w:r>
              <w:rPr>
                <w:sz w:val="18"/>
                <w:szCs w:val="18"/>
              </w:rPr>
              <w:t>,</w:t>
            </w:r>
            <w:r w:rsidRPr="003B2399">
              <w:rPr>
                <w:sz w:val="18"/>
                <w:szCs w:val="18"/>
              </w:rPr>
              <w:t xml:space="preserve"> Paul, </w:t>
            </w:r>
            <w:r>
              <w:rPr>
                <w:sz w:val="18"/>
                <w:szCs w:val="18"/>
              </w:rPr>
              <w:t>B.</w:t>
            </w:r>
            <w:r w:rsidRPr="003B2399">
              <w:rPr>
                <w:sz w:val="18"/>
                <w:szCs w:val="18"/>
              </w:rPr>
              <w:t>K.</w:t>
            </w:r>
            <w:r>
              <w:rPr>
                <w:sz w:val="18"/>
                <w:szCs w:val="18"/>
              </w:rPr>
              <w:t>,</w:t>
            </w:r>
            <w:r w:rsidRPr="003B2399">
              <w:rPr>
                <w:sz w:val="18"/>
                <w:szCs w:val="18"/>
              </w:rPr>
              <w:t xml:space="preserve"> </w:t>
            </w:r>
            <w:proofErr w:type="spellStart"/>
            <w:r w:rsidRPr="003B2399">
              <w:rPr>
                <w:sz w:val="18"/>
                <w:szCs w:val="18"/>
              </w:rPr>
              <w:t>Mwongera</w:t>
            </w:r>
            <w:proofErr w:type="spellEnd"/>
            <w:r w:rsidRPr="003B2399">
              <w:rPr>
                <w:sz w:val="18"/>
                <w:szCs w:val="18"/>
              </w:rPr>
              <w:t>, C</w:t>
            </w:r>
            <w:r>
              <w:rPr>
                <w:sz w:val="18"/>
                <w:szCs w:val="18"/>
              </w:rPr>
              <w:t xml:space="preserve">., </w:t>
            </w:r>
            <w:proofErr w:type="spellStart"/>
            <w:r w:rsidRPr="003B2399">
              <w:rPr>
                <w:sz w:val="18"/>
                <w:szCs w:val="18"/>
              </w:rPr>
              <w:t>Winowiecki</w:t>
            </w:r>
            <w:proofErr w:type="spellEnd"/>
            <w:r w:rsidRPr="003B2399">
              <w:rPr>
                <w:sz w:val="18"/>
                <w:szCs w:val="18"/>
              </w:rPr>
              <w:t>, L</w:t>
            </w:r>
            <w:r>
              <w:rPr>
                <w:sz w:val="18"/>
                <w:szCs w:val="18"/>
              </w:rPr>
              <w:t>.A.,</w:t>
            </w:r>
            <w:r w:rsidRPr="003B2399">
              <w:rPr>
                <w:sz w:val="18"/>
                <w:szCs w:val="18"/>
              </w:rPr>
              <w:t xml:space="preserve"> </w:t>
            </w:r>
            <w:proofErr w:type="spellStart"/>
            <w:r w:rsidRPr="003B2399">
              <w:rPr>
                <w:sz w:val="18"/>
                <w:szCs w:val="18"/>
              </w:rPr>
              <w:t>Läderach</w:t>
            </w:r>
            <w:proofErr w:type="spellEnd"/>
            <w:r w:rsidRPr="003B2399">
              <w:rPr>
                <w:sz w:val="18"/>
                <w:szCs w:val="18"/>
              </w:rPr>
              <w:t>, P</w:t>
            </w:r>
            <w:r>
              <w:rPr>
                <w:sz w:val="18"/>
                <w:szCs w:val="18"/>
              </w:rPr>
              <w:t>.,</w:t>
            </w:r>
            <w:r w:rsidRPr="003B2399">
              <w:rPr>
                <w:sz w:val="18"/>
                <w:szCs w:val="18"/>
              </w:rPr>
              <w:t xml:space="preserve"> Herrero, M</w:t>
            </w:r>
            <w:r>
              <w:rPr>
                <w:sz w:val="18"/>
                <w:szCs w:val="18"/>
              </w:rPr>
              <w:t xml:space="preserve">., and </w:t>
            </w:r>
            <w:r w:rsidRPr="003B2399">
              <w:rPr>
                <w:sz w:val="18"/>
                <w:szCs w:val="18"/>
              </w:rPr>
              <w:t>Silvestri, S</w:t>
            </w:r>
            <w:r>
              <w:rPr>
                <w:sz w:val="18"/>
                <w:szCs w:val="18"/>
              </w:rPr>
              <w:t xml:space="preserve">. </w:t>
            </w:r>
            <w:r w:rsidRPr="003B2399">
              <w:rPr>
                <w:sz w:val="18"/>
                <w:szCs w:val="18"/>
              </w:rPr>
              <w:t xml:space="preserve">2016. Prioritizing climate-smart livestock technologies in rural Tanzania: A minimum data approach. </w:t>
            </w:r>
            <w:r w:rsidRPr="003B2399">
              <w:rPr>
                <w:i/>
                <w:sz w:val="18"/>
                <w:szCs w:val="18"/>
              </w:rPr>
              <w:t>Agricultural Systems</w:t>
            </w:r>
            <w:r w:rsidRPr="003B2399">
              <w:rPr>
                <w:sz w:val="18"/>
                <w:szCs w:val="18"/>
              </w:rPr>
              <w:t>.</w:t>
            </w:r>
          </w:p>
          <w:p w14:paraId="36C228F2" w14:textId="4EB695EA" w:rsidR="00F04D52" w:rsidRPr="003B2399" w:rsidRDefault="00F04D52" w:rsidP="003B2399">
            <w:pPr>
              <w:pStyle w:val="ListParagraph"/>
              <w:numPr>
                <w:ilvl w:val="0"/>
                <w:numId w:val="30"/>
              </w:numPr>
              <w:rPr>
                <w:rFonts w:eastAsia="Times New Roman" w:cs="Times New Roman"/>
                <w:sz w:val="18"/>
                <w:szCs w:val="18"/>
                <w:lang w:val="en-US"/>
              </w:rPr>
            </w:pPr>
            <w:r w:rsidRPr="003B2399">
              <w:rPr>
                <w:rFonts w:eastAsia="Times New Roman" w:cs="Times New Roman"/>
                <w:sz w:val="18"/>
                <w:szCs w:val="18"/>
                <w:lang w:val="en-US"/>
              </w:rPr>
              <w:t xml:space="preserve">Smith, J. W., </w:t>
            </w:r>
            <w:proofErr w:type="spellStart"/>
            <w:r w:rsidRPr="003B2399">
              <w:rPr>
                <w:rFonts w:eastAsia="Times New Roman" w:cs="Times New Roman"/>
                <w:sz w:val="18"/>
                <w:szCs w:val="18"/>
                <w:lang w:val="en-US"/>
              </w:rPr>
              <w:t>Naazie</w:t>
            </w:r>
            <w:proofErr w:type="spellEnd"/>
            <w:r w:rsidRPr="003B2399">
              <w:rPr>
                <w:rFonts w:eastAsia="Times New Roman" w:cs="Times New Roman"/>
                <w:sz w:val="18"/>
                <w:szCs w:val="18"/>
                <w:lang w:val="en-US"/>
              </w:rPr>
              <w:t xml:space="preserve">, A., Larbi, A., Agyemang, K., &amp; Tarawali, S. 1997. Integrated crop-livestock systems in sub-Saharan Africa: An option or an imperative? </w:t>
            </w:r>
            <w:r w:rsidRPr="003B2399">
              <w:rPr>
                <w:sz w:val="18"/>
                <w:szCs w:val="18"/>
              </w:rPr>
              <w:t>Outlook on Agriculture;26(4): 237-246</w:t>
            </w:r>
          </w:p>
          <w:p w14:paraId="412388AC" w14:textId="77777777" w:rsidR="003B2399" w:rsidRPr="003B2399" w:rsidRDefault="003B2399" w:rsidP="003B2399">
            <w:pPr>
              <w:pStyle w:val="ListParagraph"/>
              <w:numPr>
                <w:ilvl w:val="0"/>
                <w:numId w:val="30"/>
              </w:numPr>
              <w:autoSpaceDE w:val="0"/>
              <w:autoSpaceDN w:val="0"/>
              <w:adjustRightInd w:val="0"/>
              <w:spacing w:after="240"/>
              <w:rPr>
                <w:rFonts w:cs="Arial"/>
                <w:sz w:val="18"/>
                <w:szCs w:val="18"/>
                <w:lang w:val="en-US"/>
              </w:rPr>
            </w:pPr>
            <w:proofErr w:type="spellStart"/>
            <w:r w:rsidRPr="003B2399">
              <w:rPr>
                <w:sz w:val="18"/>
                <w:szCs w:val="18"/>
              </w:rPr>
              <w:t>Stür</w:t>
            </w:r>
            <w:proofErr w:type="spellEnd"/>
            <w:r w:rsidRPr="003B2399">
              <w:rPr>
                <w:sz w:val="18"/>
                <w:szCs w:val="18"/>
              </w:rPr>
              <w:t xml:space="preserve">, W., </w:t>
            </w:r>
            <w:proofErr w:type="spellStart"/>
            <w:r w:rsidRPr="003B2399">
              <w:rPr>
                <w:sz w:val="18"/>
                <w:szCs w:val="18"/>
              </w:rPr>
              <w:t>Khanh</w:t>
            </w:r>
            <w:proofErr w:type="spellEnd"/>
            <w:r w:rsidRPr="003B2399">
              <w:rPr>
                <w:sz w:val="18"/>
                <w:szCs w:val="18"/>
              </w:rPr>
              <w:t>, T.T. and Duncan, A.J. 2013. Transformation of smallholder beef cattle production in Vietnam. International Journal of Agricultural Sustainability 11(4): 363 - 381</w:t>
            </w:r>
            <w:r w:rsidRPr="003B2399">
              <w:rPr>
                <w:rFonts w:cs="Arial"/>
                <w:sz w:val="18"/>
                <w:szCs w:val="18"/>
                <w:lang w:val="en-US"/>
              </w:rPr>
              <w:t xml:space="preserve"> </w:t>
            </w:r>
          </w:p>
          <w:p w14:paraId="73B61561" w14:textId="0B3F0242" w:rsidR="00F04D52" w:rsidRPr="003B2399" w:rsidRDefault="003B2399" w:rsidP="003B2399">
            <w:pPr>
              <w:pStyle w:val="ListParagraph"/>
              <w:numPr>
                <w:ilvl w:val="0"/>
                <w:numId w:val="30"/>
              </w:numPr>
              <w:autoSpaceDE w:val="0"/>
              <w:autoSpaceDN w:val="0"/>
              <w:adjustRightInd w:val="0"/>
              <w:spacing w:after="240"/>
              <w:rPr>
                <w:rFonts w:cs="Arial"/>
                <w:sz w:val="18"/>
                <w:szCs w:val="18"/>
                <w:lang w:val="en-US"/>
              </w:rPr>
            </w:pPr>
            <w:proofErr w:type="spellStart"/>
            <w:r w:rsidRPr="003B2399">
              <w:rPr>
                <w:rFonts w:cs="Arial"/>
                <w:sz w:val="18"/>
                <w:szCs w:val="18"/>
                <w:lang w:val="en-US"/>
              </w:rPr>
              <w:t>Sumberg</w:t>
            </w:r>
            <w:proofErr w:type="spellEnd"/>
            <w:r w:rsidRPr="003B2399">
              <w:rPr>
                <w:rFonts w:cs="Arial"/>
                <w:sz w:val="18"/>
                <w:szCs w:val="18"/>
                <w:lang w:val="en-US"/>
              </w:rPr>
              <w:t>, J.</w:t>
            </w:r>
            <w:r w:rsidR="00F04D52" w:rsidRPr="003B2399">
              <w:rPr>
                <w:rFonts w:cs="Arial"/>
                <w:sz w:val="18"/>
                <w:szCs w:val="18"/>
                <w:lang w:val="en-US"/>
              </w:rPr>
              <w:t xml:space="preserve"> 2002. The logic of fodder legumes in Africa.</w:t>
            </w:r>
            <w:r w:rsidR="00F04D52" w:rsidRPr="003B2399">
              <w:rPr>
                <w:rFonts w:cs="Arial"/>
                <w:i/>
                <w:iCs/>
                <w:sz w:val="18"/>
                <w:szCs w:val="18"/>
                <w:lang w:val="en-US"/>
              </w:rPr>
              <w:t xml:space="preserve"> Food Policy</w:t>
            </w:r>
            <w:r w:rsidR="00F04D52" w:rsidRPr="003B2399">
              <w:rPr>
                <w:rFonts w:cs="Arial"/>
                <w:sz w:val="18"/>
                <w:szCs w:val="18"/>
                <w:lang w:val="en-US"/>
              </w:rPr>
              <w:t xml:space="preserve"> 27:285-300.</w:t>
            </w:r>
          </w:p>
          <w:p w14:paraId="353ADE52" w14:textId="19FD60BD" w:rsidR="00F04D52" w:rsidRPr="009C7B2C" w:rsidRDefault="00F04D52" w:rsidP="003B2399">
            <w:pPr>
              <w:pStyle w:val="ListParagraph"/>
              <w:numPr>
                <w:ilvl w:val="0"/>
                <w:numId w:val="30"/>
              </w:numPr>
              <w:autoSpaceDE w:val="0"/>
              <w:autoSpaceDN w:val="0"/>
              <w:adjustRightInd w:val="0"/>
              <w:spacing w:after="240"/>
              <w:rPr>
                <w:sz w:val="18"/>
                <w:szCs w:val="18"/>
              </w:rPr>
            </w:pPr>
            <w:r w:rsidRPr="009C7B2C">
              <w:rPr>
                <w:sz w:val="18"/>
                <w:szCs w:val="18"/>
              </w:rPr>
              <w:t>World Bank</w:t>
            </w:r>
            <w:r w:rsidR="003B2399" w:rsidRPr="009C7B2C">
              <w:rPr>
                <w:sz w:val="18"/>
                <w:szCs w:val="18"/>
              </w:rPr>
              <w:t xml:space="preserve">. </w:t>
            </w:r>
            <w:r w:rsidRPr="009C7B2C">
              <w:rPr>
                <w:sz w:val="18"/>
                <w:szCs w:val="18"/>
              </w:rPr>
              <w:t>2012</w:t>
            </w:r>
            <w:r w:rsidR="003B2399" w:rsidRPr="009C7B2C">
              <w:rPr>
                <w:sz w:val="18"/>
                <w:szCs w:val="18"/>
              </w:rPr>
              <w:t xml:space="preserve">. </w:t>
            </w:r>
            <w:r w:rsidRPr="009C7B2C">
              <w:rPr>
                <w:sz w:val="18"/>
                <w:szCs w:val="18"/>
              </w:rPr>
              <w:t xml:space="preserve"> </w:t>
            </w:r>
            <w:r w:rsidR="009C7B2C" w:rsidRPr="009C7B2C">
              <w:rPr>
                <w:sz w:val="18"/>
                <w:szCs w:val="18"/>
              </w:rPr>
              <w:t>Identifying investment opportunities for ruminant livestock feeding in developing countries.  Washington DC: World Bank.</w:t>
            </w:r>
          </w:p>
        </w:tc>
        <w:tc>
          <w:tcPr>
            <w:tcW w:w="1001" w:type="pct"/>
          </w:tcPr>
          <w:p w14:paraId="4FE70D74" w14:textId="1907682F" w:rsidR="003828C4" w:rsidRDefault="003828C4" w:rsidP="003828C4">
            <w:pPr>
              <w:rPr>
                <w:sz w:val="18"/>
                <w:szCs w:val="18"/>
              </w:rPr>
            </w:pPr>
            <w:r>
              <w:rPr>
                <w:sz w:val="18"/>
                <w:szCs w:val="18"/>
              </w:rPr>
              <w:lastRenderedPageBreak/>
              <w:t xml:space="preserve">The flagship narrative has been updated </w:t>
            </w:r>
            <w:r w:rsidR="00EF1C50">
              <w:rPr>
                <w:sz w:val="18"/>
                <w:szCs w:val="18"/>
              </w:rPr>
              <w:t>as follows</w:t>
            </w:r>
            <w:r>
              <w:rPr>
                <w:sz w:val="18"/>
                <w:szCs w:val="18"/>
              </w:rPr>
              <w:t>:</w:t>
            </w:r>
          </w:p>
          <w:p w14:paraId="6DFBFFFE" w14:textId="77777777" w:rsidR="003828C4" w:rsidRDefault="003828C4" w:rsidP="00F04D52">
            <w:pPr>
              <w:rPr>
                <w:sz w:val="18"/>
                <w:szCs w:val="18"/>
              </w:rPr>
            </w:pPr>
          </w:p>
          <w:p w14:paraId="1AD38868" w14:textId="0EC3A3E9" w:rsidR="00F04D52" w:rsidRPr="0048128E" w:rsidRDefault="003828C4" w:rsidP="00F04D52">
            <w:pPr>
              <w:rPr>
                <w:sz w:val="18"/>
                <w:szCs w:val="18"/>
                <w:lang w:val="fr-FR"/>
              </w:rPr>
            </w:pPr>
            <w:r w:rsidRPr="0048128E">
              <w:rPr>
                <w:sz w:val="18"/>
                <w:szCs w:val="18"/>
                <w:lang w:val="fr-FR"/>
              </w:rPr>
              <w:t xml:space="preserve">Section </w:t>
            </w:r>
            <w:r w:rsidR="00F04D52" w:rsidRPr="0048128E">
              <w:rPr>
                <w:sz w:val="18"/>
                <w:szCs w:val="18"/>
                <w:lang w:val="fr-FR"/>
              </w:rPr>
              <w:t>2.3.1.1</w:t>
            </w:r>
            <w:r w:rsidRPr="0048128E">
              <w:rPr>
                <w:sz w:val="18"/>
                <w:szCs w:val="18"/>
                <w:lang w:val="fr-FR"/>
              </w:rPr>
              <w:t xml:space="preserve">: Changes on page </w:t>
            </w:r>
            <w:r w:rsidR="00886630">
              <w:rPr>
                <w:sz w:val="18"/>
                <w:szCs w:val="18"/>
                <w:lang w:val="fr-FR"/>
              </w:rPr>
              <w:t>117</w:t>
            </w:r>
          </w:p>
          <w:p w14:paraId="4024CB5F" w14:textId="77777777" w:rsidR="00F04D52" w:rsidRPr="0048128E" w:rsidRDefault="00F04D52" w:rsidP="00F04D52">
            <w:pPr>
              <w:rPr>
                <w:sz w:val="18"/>
                <w:szCs w:val="18"/>
                <w:lang w:val="fr-FR"/>
              </w:rPr>
            </w:pPr>
          </w:p>
          <w:p w14:paraId="4BED9D89" w14:textId="2E118C8F" w:rsidR="003828C4" w:rsidRPr="0048128E" w:rsidRDefault="003828C4" w:rsidP="00F04D52">
            <w:pPr>
              <w:rPr>
                <w:sz w:val="18"/>
                <w:szCs w:val="18"/>
                <w:lang w:val="fr-FR"/>
              </w:rPr>
            </w:pPr>
            <w:r w:rsidRPr="0048128E">
              <w:rPr>
                <w:sz w:val="18"/>
                <w:szCs w:val="18"/>
                <w:lang w:val="fr-FR"/>
              </w:rPr>
              <w:t>S</w:t>
            </w:r>
            <w:r w:rsidR="00F04D52" w:rsidRPr="0048128E">
              <w:rPr>
                <w:sz w:val="18"/>
                <w:szCs w:val="18"/>
                <w:lang w:val="fr-FR"/>
              </w:rPr>
              <w:t>ection 2.3.1.4</w:t>
            </w:r>
            <w:r w:rsidRPr="0048128E">
              <w:rPr>
                <w:sz w:val="18"/>
                <w:szCs w:val="18"/>
                <w:lang w:val="fr-FR"/>
              </w:rPr>
              <w:t>:</w:t>
            </w:r>
            <w:r w:rsidR="00F04D52" w:rsidRPr="0048128E">
              <w:rPr>
                <w:sz w:val="18"/>
                <w:szCs w:val="18"/>
                <w:lang w:val="fr-FR"/>
              </w:rPr>
              <w:t xml:space="preserve"> </w:t>
            </w:r>
            <w:r w:rsidRPr="0048128E">
              <w:rPr>
                <w:sz w:val="18"/>
                <w:szCs w:val="18"/>
                <w:lang w:val="fr-FR"/>
              </w:rPr>
              <w:t>Changes on pages 12</w:t>
            </w:r>
            <w:r w:rsidR="00886630">
              <w:rPr>
                <w:sz w:val="18"/>
                <w:szCs w:val="18"/>
                <w:lang w:val="fr-FR"/>
              </w:rPr>
              <w:t>3-124</w:t>
            </w:r>
          </w:p>
          <w:p w14:paraId="71B77CBF" w14:textId="77777777" w:rsidR="003828C4" w:rsidRPr="0048128E" w:rsidRDefault="003828C4" w:rsidP="00F04D52">
            <w:pPr>
              <w:rPr>
                <w:sz w:val="18"/>
                <w:szCs w:val="18"/>
                <w:lang w:val="fr-FR"/>
              </w:rPr>
            </w:pPr>
          </w:p>
          <w:p w14:paraId="77F2F8B1" w14:textId="2F6A899E" w:rsidR="00F04D52" w:rsidRPr="00296143" w:rsidRDefault="003828C4" w:rsidP="00F04D52">
            <w:pPr>
              <w:rPr>
                <w:sz w:val="18"/>
                <w:szCs w:val="18"/>
              </w:rPr>
            </w:pPr>
            <w:r>
              <w:rPr>
                <w:sz w:val="18"/>
                <w:szCs w:val="18"/>
              </w:rPr>
              <w:t>S</w:t>
            </w:r>
            <w:r w:rsidR="00F04D52" w:rsidRPr="00296143">
              <w:rPr>
                <w:sz w:val="18"/>
                <w:szCs w:val="18"/>
              </w:rPr>
              <w:t>ection 2.3.1.6</w:t>
            </w:r>
            <w:r w:rsidR="00DD41C4">
              <w:rPr>
                <w:sz w:val="18"/>
                <w:szCs w:val="18"/>
              </w:rPr>
              <w:t>: Changes on page 12</w:t>
            </w:r>
            <w:r w:rsidR="00886630">
              <w:rPr>
                <w:sz w:val="18"/>
                <w:szCs w:val="18"/>
              </w:rPr>
              <w:t>6</w:t>
            </w:r>
            <w:r w:rsidR="00DD41C4">
              <w:rPr>
                <w:sz w:val="18"/>
                <w:szCs w:val="18"/>
              </w:rPr>
              <w:t>-1</w:t>
            </w:r>
            <w:r w:rsidR="00886630">
              <w:rPr>
                <w:sz w:val="18"/>
                <w:szCs w:val="18"/>
              </w:rPr>
              <w:t>30</w:t>
            </w:r>
          </w:p>
          <w:p w14:paraId="3F3BA3F9" w14:textId="77777777" w:rsidR="00F04D52" w:rsidRDefault="00F04D52" w:rsidP="00F04D52">
            <w:pPr>
              <w:rPr>
                <w:sz w:val="18"/>
                <w:szCs w:val="18"/>
              </w:rPr>
            </w:pPr>
          </w:p>
          <w:p w14:paraId="56E6872A" w14:textId="031908B2" w:rsidR="00F04D52" w:rsidRPr="00514A00" w:rsidRDefault="00F04D52" w:rsidP="00F04D52">
            <w:pPr>
              <w:rPr>
                <w:sz w:val="18"/>
                <w:szCs w:val="18"/>
              </w:rPr>
            </w:pPr>
          </w:p>
        </w:tc>
      </w:tr>
      <w:tr w:rsidR="00F04D52" w:rsidRPr="00514A00" w14:paraId="4B670709" w14:textId="77777777" w:rsidTr="000674F5">
        <w:tc>
          <w:tcPr>
            <w:tcW w:w="1065" w:type="pct"/>
            <w:gridSpan w:val="3"/>
            <w:shd w:val="clear" w:color="auto" w:fill="1F4E79" w:themeFill="accent1" w:themeFillShade="80"/>
          </w:tcPr>
          <w:p w14:paraId="4F7BA0CC" w14:textId="3A0584C9" w:rsidR="00F04D52" w:rsidRPr="00514A00" w:rsidRDefault="00F04D52" w:rsidP="00F04D52">
            <w:pPr>
              <w:pStyle w:val="Heading2"/>
              <w:outlineLvl w:val="1"/>
              <w:rPr>
                <w:b/>
                <w:color w:val="FFFFFF" w:themeColor="background1"/>
                <w:sz w:val="18"/>
                <w:szCs w:val="18"/>
              </w:rPr>
            </w:pPr>
            <w:r w:rsidRPr="00514A00">
              <w:rPr>
                <w:b/>
                <w:color w:val="FFFFFF" w:themeColor="background1"/>
                <w:sz w:val="18"/>
                <w:szCs w:val="18"/>
              </w:rPr>
              <w:lastRenderedPageBreak/>
              <w:t>ISPC Comments</w:t>
            </w:r>
          </w:p>
          <w:p w14:paraId="0EA77D0C" w14:textId="77777777" w:rsidR="00F04D52" w:rsidRPr="00514A00" w:rsidRDefault="00F04D52" w:rsidP="00F04D52">
            <w:pPr>
              <w:rPr>
                <w:b/>
                <w:color w:val="FFFFFF" w:themeColor="background1"/>
                <w:sz w:val="18"/>
                <w:szCs w:val="18"/>
              </w:rPr>
            </w:pPr>
          </w:p>
        </w:tc>
        <w:tc>
          <w:tcPr>
            <w:tcW w:w="2933" w:type="pct"/>
            <w:shd w:val="clear" w:color="auto" w:fill="1F4E79" w:themeFill="accent1" w:themeFillShade="80"/>
          </w:tcPr>
          <w:p w14:paraId="4A750169" w14:textId="77777777" w:rsidR="00F04D52" w:rsidRPr="00514A00" w:rsidRDefault="00F04D52" w:rsidP="00F04D52">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05C40100" w14:textId="6225604A" w:rsidR="00F04D52" w:rsidRPr="00514A00" w:rsidRDefault="00F04D52" w:rsidP="00F04D52">
            <w:pPr>
              <w:rPr>
                <w:b/>
                <w:color w:val="FFFFFF" w:themeColor="background1"/>
                <w:sz w:val="18"/>
                <w:szCs w:val="18"/>
              </w:rPr>
            </w:pPr>
            <w:r w:rsidRPr="00514A00">
              <w:rPr>
                <w:b/>
                <w:color w:val="FFFFFF" w:themeColor="background1"/>
                <w:sz w:val="18"/>
                <w:szCs w:val="18"/>
              </w:rPr>
              <w:t xml:space="preserve">Modifications to narrative </w:t>
            </w:r>
          </w:p>
        </w:tc>
      </w:tr>
      <w:tr w:rsidR="00F04D52" w:rsidRPr="00514A00" w14:paraId="05DCA3DC" w14:textId="77777777" w:rsidTr="000674F5">
        <w:tc>
          <w:tcPr>
            <w:tcW w:w="1065" w:type="pct"/>
            <w:gridSpan w:val="3"/>
          </w:tcPr>
          <w:p w14:paraId="7D123ABC" w14:textId="77777777" w:rsidR="00F04D52" w:rsidRPr="00514A00" w:rsidRDefault="00F04D52" w:rsidP="00F04D52">
            <w:pPr>
              <w:pStyle w:val="ListParagraph"/>
              <w:numPr>
                <w:ilvl w:val="0"/>
                <w:numId w:val="13"/>
              </w:numPr>
              <w:rPr>
                <w:sz w:val="18"/>
                <w:szCs w:val="18"/>
              </w:rPr>
            </w:pPr>
            <w:r w:rsidRPr="00514A00">
              <w:rPr>
                <w:b/>
                <w:sz w:val="18"/>
                <w:szCs w:val="18"/>
              </w:rPr>
              <w:t>Provide additional information on the functional integration with other AFS CRPs to clarify how the Livestock CRP will influence trait discovery in crop breeding CRPs and assess potential trade-offs between the uses for crop and livestock production.</w:t>
            </w:r>
          </w:p>
          <w:p w14:paraId="1202ED7C" w14:textId="77777777" w:rsidR="00F04D52" w:rsidRPr="00514A00" w:rsidRDefault="00F04D52" w:rsidP="00F04D52">
            <w:pPr>
              <w:rPr>
                <w:sz w:val="18"/>
                <w:szCs w:val="18"/>
              </w:rPr>
            </w:pPr>
          </w:p>
          <w:p w14:paraId="2D092D48" w14:textId="77777777" w:rsidR="00F04D52" w:rsidRPr="00514A00" w:rsidRDefault="00F04D52" w:rsidP="00F04D52">
            <w:pPr>
              <w:rPr>
                <w:sz w:val="18"/>
                <w:szCs w:val="18"/>
              </w:rPr>
            </w:pPr>
            <w:r w:rsidRPr="00514A00">
              <w:rPr>
                <w:sz w:val="18"/>
                <w:szCs w:val="18"/>
              </w:rPr>
              <w:t>The proposal should better describe (in the requested addendum) the strength of integration with crop AFS CRPs.</w:t>
            </w:r>
          </w:p>
          <w:p w14:paraId="78DADF3C" w14:textId="77777777" w:rsidR="00F04D52" w:rsidRPr="00514A00" w:rsidRDefault="00F04D52" w:rsidP="00F04D52">
            <w:pPr>
              <w:rPr>
                <w:sz w:val="18"/>
                <w:szCs w:val="18"/>
              </w:rPr>
            </w:pPr>
          </w:p>
          <w:p w14:paraId="4A85BA49" w14:textId="0B548273" w:rsidR="00F04D52" w:rsidRPr="00514A00" w:rsidRDefault="00F04D52" w:rsidP="00F04D52">
            <w:pPr>
              <w:rPr>
                <w:sz w:val="18"/>
                <w:szCs w:val="18"/>
              </w:rPr>
            </w:pPr>
            <w:r w:rsidRPr="00514A00">
              <w:rPr>
                <w:sz w:val="18"/>
                <w:szCs w:val="18"/>
              </w:rPr>
              <w:lastRenderedPageBreak/>
              <w:t>This could be considered in the part of the addendum that considers interactions with other CRPs.</w:t>
            </w:r>
          </w:p>
        </w:tc>
        <w:tc>
          <w:tcPr>
            <w:tcW w:w="2933" w:type="pct"/>
          </w:tcPr>
          <w:p w14:paraId="31DE464A" w14:textId="77777777" w:rsidR="00F04D52" w:rsidRDefault="00F04D52" w:rsidP="00F04D52">
            <w:pPr>
              <w:rPr>
                <w:sz w:val="18"/>
                <w:szCs w:val="18"/>
              </w:rPr>
            </w:pPr>
            <w:r w:rsidRPr="002956D1">
              <w:rPr>
                <w:b/>
                <w:sz w:val="18"/>
                <w:szCs w:val="18"/>
              </w:rPr>
              <w:lastRenderedPageBreak/>
              <w:t xml:space="preserve">On influencing trait discovery in crop breeding </w:t>
            </w:r>
            <w:r>
              <w:rPr>
                <w:b/>
                <w:sz w:val="18"/>
                <w:szCs w:val="18"/>
              </w:rPr>
              <w:t>CRPs</w:t>
            </w:r>
            <w:r>
              <w:rPr>
                <w:sz w:val="18"/>
                <w:szCs w:val="18"/>
              </w:rPr>
              <w:t>, w</w:t>
            </w:r>
            <w:r w:rsidRPr="00D968A9">
              <w:rPr>
                <w:sz w:val="18"/>
                <w:szCs w:val="18"/>
              </w:rPr>
              <w:t>ork</w:t>
            </w:r>
            <w:r>
              <w:rPr>
                <w:sz w:val="18"/>
                <w:szCs w:val="18"/>
              </w:rPr>
              <w:t xml:space="preserve"> (</w:t>
            </w:r>
            <w:proofErr w:type="spellStart"/>
            <w:r>
              <w:rPr>
                <w:sz w:val="18"/>
                <w:szCs w:val="18"/>
              </w:rPr>
              <w:t>Aruna</w:t>
            </w:r>
            <w:proofErr w:type="spellEnd"/>
            <w:r>
              <w:rPr>
                <w:sz w:val="18"/>
                <w:szCs w:val="18"/>
              </w:rPr>
              <w:t xml:space="preserve"> et al 2015; </w:t>
            </w:r>
            <w:proofErr w:type="spellStart"/>
            <w:r w:rsidRPr="003E20B7">
              <w:rPr>
                <w:rFonts w:eastAsia="Times New Roman" w:cs="Times New Roman"/>
                <w:sz w:val="18"/>
                <w:szCs w:val="18"/>
                <w:lang w:val="en-US"/>
              </w:rPr>
              <w:t>Lenné</w:t>
            </w:r>
            <w:proofErr w:type="spellEnd"/>
            <w:r>
              <w:rPr>
                <w:rFonts w:eastAsia="Times New Roman" w:cs="Times New Roman"/>
                <w:sz w:val="18"/>
                <w:szCs w:val="18"/>
                <w:lang w:val="en-US"/>
              </w:rPr>
              <w:t xml:space="preserve"> et al 2003</w:t>
            </w:r>
            <w:r>
              <w:rPr>
                <w:sz w:val="18"/>
                <w:szCs w:val="18"/>
              </w:rPr>
              <w:t>)</w:t>
            </w:r>
            <w:r w:rsidRPr="00D968A9">
              <w:rPr>
                <w:sz w:val="18"/>
                <w:szCs w:val="18"/>
              </w:rPr>
              <w:t xml:space="preserve"> on </w:t>
            </w:r>
            <w:r>
              <w:rPr>
                <w:sz w:val="18"/>
                <w:szCs w:val="18"/>
              </w:rPr>
              <w:t>‘full-purpose’</w:t>
            </w:r>
            <w:r w:rsidRPr="00D968A9">
              <w:rPr>
                <w:sz w:val="18"/>
                <w:szCs w:val="18"/>
              </w:rPr>
              <w:t xml:space="preserve"> crops </w:t>
            </w:r>
            <w:r>
              <w:rPr>
                <w:sz w:val="18"/>
                <w:szCs w:val="18"/>
              </w:rPr>
              <w:t xml:space="preserve">described in the proposal </w:t>
            </w:r>
            <w:r w:rsidRPr="00D968A9">
              <w:rPr>
                <w:sz w:val="18"/>
                <w:szCs w:val="18"/>
              </w:rPr>
              <w:t>was developed in close consultation with AFS crop commodity CRPs</w:t>
            </w:r>
            <w:r>
              <w:rPr>
                <w:sz w:val="18"/>
                <w:szCs w:val="18"/>
              </w:rPr>
              <w:t xml:space="preserve">. This </w:t>
            </w:r>
            <w:r w:rsidRPr="00D968A9">
              <w:rPr>
                <w:sz w:val="18"/>
                <w:szCs w:val="18"/>
              </w:rPr>
              <w:t xml:space="preserve">full purpose crop concept, </w:t>
            </w:r>
            <w:r>
              <w:rPr>
                <w:sz w:val="18"/>
                <w:szCs w:val="18"/>
              </w:rPr>
              <w:t xml:space="preserve">represents, </w:t>
            </w:r>
            <w:r w:rsidRPr="00D968A9">
              <w:rPr>
                <w:sz w:val="18"/>
                <w:szCs w:val="18"/>
              </w:rPr>
              <w:t>in effect</w:t>
            </w:r>
            <w:r>
              <w:rPr>
                <w:sz w:val="18"/>
                <w:szCs w:val="18"/>
              </w:rPr>
              <w:t>,</w:t>
            </w:r>
            <w:r w:rsidRPr="00D968A9">
              <w:rPr>
                <w:sz w:val="18"/>
                <w:szCs w:val="18"/>
              </w:rPr>
              <w:t xml:space="preserve"> a new paradigm in crop improvement. </w:t>
            </w:r>
            <w:r>
              <w:rPr>
                <w:sz w:val="18"/>
                <w:szCs w:val="18"/>
              </w:rPr>
              <w:t xml:space="preserve">The concept draws from </w:t>
            </w:r>
            <w:r w:rsidRPr="00D968A9">
              <w:rPr>
                <w:sz w:val="18"/>
                <w:szCs w:val="18"/>
              </w:rPr>
              <w:t xml:space="preserve">experiences </w:t>
            </w:r>
            <w:r>
              <w:rPr>
                <w:sz w:val="18"/>
                <w:szCs w:val="18"/>
              </w:rPr>
              <w:t>from earlier research including</w:t>
            </w:r>
            <w:r w:rsidRPr="00D968A9">
              <w:rPr>
                <w:sz w:val="18"/>
                <w:szCs w:val="18"/>
              </w:rPr>
              <w:t xml:space="preserve"> on most key cereal and legumes with CG</w:t>
            </w:r>
            <w:r>
              <w:rPr>
                <w:sz w:val="18"/>
                <w:szCs w:val="18"/>
              </w:rPr>
              <w:t>IAR</w:t>
            </w:r>
            <w:r w:rsidRPr="00D968A9">
              <w:rPr>
                <w:sz w:val="18"/>
                <w:szCs w:val="18"/>
              </w:rPr>
              <w:t>, NARES and the private sector during the 1</w:t>
            </w:r>
            <w:r w:rsidRPr="00D968A9">
              <w:rPr>
                <w:sz w:val="18"/>
                <w:szCs w:val="18"/>
                <w:vertAlign w:val="superscript"/>
              </w:rPr>
              <w:t>st</w:t>
            </w:r>
            <w:r w:rsidRPr="00D968A9">
              <w:rPr>
                <w:sz w:val="18"/>
                <w:szCs w:val="18"/>
              </w:rPr>
              <w:t xml:space="preserve"> phase of the CRPs. </w:t>
            </w:r>
          </w:p>
          <w:p w14:paraId="373B5176" w14:textId="77777777" w:rsidR="00F04D52" w:rsidRDefault="00F04D52" w:rsidP="00F04D52">
            <w:pPr>
              <w:rPr>
                <w:sz w:val="18"/>
                <w:szCs w:val="18"/>
              </w:rPr>
            </w:pPr>
          </w:p>
          <w:p w14:paraId="79B0E7C4" w14:textId="40E94851" w:rsidR="00F04D52" w:rsidRDefault="00F04D52" w:rsidP="00F04D52">
            <w:pPr>
              <w:rPr>
                <w:sz w:val="18"/>
                <w:szCs w:val="18"/>
              </w:rPr>
            </w:pPr>
            <w:r w:rsidRPr="00D968A9">
              <w:rPr>
                <w:sz w:val="18"/>
                <w:szCs w:val="18"/>
              </w:rPr>
              <w:t xml:space="preserve">The </w:t>
            </w:r>
            <w:r>
              <w:rPr>
                <w:sz w:val="18"/>
                <w:szCs w:val="18"/>
              </w:rPr>
              <w:t xml:space="preserve">Livestock </w:t>
            </w:r>
            <w:r w:rsidRPr="00D968A9">
              <w:rPr>
                <w:sz w:val="18"/>
                <w:szCs w:val="18"/>
              </w:rPr>
              <w:t>Feed and Forage</w:t>
            </w:r>
            <w:r w:rsidR="00CB6393">
              <w:rPr>
                <w:sz w:val="18"/>
                <w:szCs w:val="18"/>
              </w:rPr>
              <w:t>s</w:t>
            </w:r>
            <w:r w:rsidRPr="00D968A9">
              <w:rPr>
                <w:sz w:val="18"/>
                <w:szCs w:val="18"/>
              </w:rPr>
              <w:t xml:space="preserve"> Flagship will provide the</w:t>
            </w:r>
            <w:r>
              <w:rPr>
                <w:sz w:val="18"/>
                <w:szCs w:val="18"/>
              </w:rPr>
              <w:t xml:space="preserve"> </w:t>
            </w:r>
            <w:r w:rsidRPr="00D968A9">
              <w:rPr>
                <w:sz w:val="18"/>
                <w:szCs w:val="18"/>
              </w:rPr>
              <w:t xml:space="preserve">nodal platform to </w:t>
            </w:r>
            <w:r>
              <w:rPr>
                <w:sz w:val="18"/>
                <w:szCs w:val="18"/>
              </w:rPr>
              <w:t>identify the</w:t>
            </w:r>
            <w:r w:rsidRPr="00D968A9">
              <w:rPr>
                <w:sz w:val="18"/>
                <w:szCs w:val="18"/>
              </w:rPr>
              <w:t xml:space="preserve"> most suitable laboratory feed and fodder quality traits and to phenotype for </w:t>
            </w:r>
            <w:r>
              <w:rPr>
                <w:sz w:val="18"/>
                <w:szCs w:val="18"/>
              </w:rPr>
              <w:t>such</w:t>
            </w:r>
            <w:r w:rsidRPr="00D968A9">
              <w:rPr>
                <w:sz w:val="18"/>
                <w:szCs w:val="18"/>
              </w:rPr>
              <w:t xml:space="preserve"> traits. In </w:t>
            </w:r>
            <w:r w:rsidR="00CB6393">
              <w:rPr>
                <w:sz w:val="18"/>
                <w:szCs w:val="18"/>
              </w:rPr>
              <w:t>the Livestock and F</w:t>
            </w:r>
            <w:r>
              <w:rPr>
                <w:sz w:val="18"/>
                <w:szCs w:val="18"/>
              </w:rPr>
              <w:t>ish CRP,</w:t>
            </w:r>
            <w:r w:rsidRPr="00D968A9">
              <w:rPr>
                <w:sz w:val="18"/>
                <w:szCs w:val="18"/>
              </w:rPr>
              <w:t xml:space="preserve"> </w:t>
            </w:r>
            <w:r>
              <w:rPr>
                <w:sz w:val="18"/>
                <w:szCs w:val="18"/>
              </w:rPr>
              <w:t>such parameters</w:t>
            </w:r>
            <w:r w:rsidRPr="00D968A9">
              <w:rPr>
                <w:sz w:val="18"/>
                <w:szCs w:val="18"/>
              </w:rPr>
              <w:t xml:space="preserve"> were generally used for comprehensive proof-of-concept studies </w:t>
            </w:r>
            <w:r>
              <w:rPr>
                <w:sz w:val="18"/>
                <w:szCs w:val="18"/>
              </w:rPr>
              <w:t>although for</w:t>
            </w:r>
            <w:r w:rsidRPr="00D968A9">
              <w:rPr>
                <w:sz w:val="18"/>
                <w:szCs w:val="18"/>
              </w:rPr>
              <w:t xml:space="preserve"> some crops </w:t>
            </w:r>
            <w:r>
              <w:rPr>
                <w:sz w:val="18"/>
                <w:szCs w:val="18"/>
              </w:rPr>
              <w:t>(</w:t>
            </w:r>
            <w:r w:rsidRPr="00D968A9">
              <w:rPr>
                <w:sz w:val="18"/>
                <w:szCs w:val="18"/>
              </w:rPr>
              <w:t>for example sorghum and pearl millets in India</w:t>
            </w:r>
            <w:r>
              <w:rPr>
                <w:sz w:val="18"/>
                <w:szCs w:val="18"/>
              </w:rPr>
              <w:t>)</w:t>
            </w:r>
            <w:r w:rsidRPr="00D968A9">
              <w:rPr>
                <w:sz w:val="18"/>
                <w:szCs w:val="18"/>
              </w:rPr>
              <w:t xml:space="preserve"> </w:t>
            </w:r>
            <w:r>
              <w:rPr>
                <w:sz w:val="18"/>
                <w:szCs w:val="18"/>
              </w:rPr>
              <w:t>the</w:t>
            </w:r>
            <w:r w:rsidRPr="00D968A9">
              <w:rPr>
                <w:sz w:val="18"/>
                <w:szCs w:val="18"/>
              </w:rPr>
              <w:t xml:space="preserve"> information </w:t>
            </w:r>
            <w:r>
              <w:rPr>
                <w:sz w:val="18"/>
                <w:szCs w:val="18"/>
              </w:rPr>
              <w:t>has</w:t>
            </w:r>
            <w:r w:rsidRPr="00D968A9">
              <w:rPr>
                <w:sz w:val="18"/>
                <w:szCs w:val="18"/>
              </w:rPr>
              <w:t xml:space="preserve"> already </w:t>
            </w:r>
            <w:r>
              <w:rPr>
                <w:sz w:val="18"/>
                <w:szCs w:val="18"/>
              </w:rPr>
              <w:t>resulted in</w:t>
            </w:r>
            <w:r w:rsidRPr="00D968A9">
              <w:rPr>
                <w:sz w:val="18"/>
                <w:szCs w:val="18"/>
              </w:rPr>
              <w:t xml:space="preserve"> new variety release criteria</w:t>
            </w:r>
            <w:r>
              <w:rPr>
                <w:sz w:val="18"/>
                <w:szCs w:val="18"/>
              </w:rPr>
              <w:t xml:space="preserve"> (</w:t>
            </w:r>
            <w:r w:rsidRPr="00D968A9">
              <w:rPr>
                <w:sz w:val="18"/>
                <w:szCs w:val="18"/>
              </w:rPr>
              <w:t xml:space="preserve">new cultivars are now only released if superior in </w:t>
            </w:r>
            <w:r>
              <w:rPr>
                <w:sz w:val="18"/>
                <w:szCs w:val="18"/>
              </w:rPr>
              <w:t xml:space="preserve">both </w:t>
            </w:r>
            <w:r w:rsidRPr="00D968A9">
              <w:rPr>
                <w:sz w:val="18"/>
                <w:szCs w:val="18"/>
              </w:rPr>
              <w:t xml:space="preserve">grain yield and in </w:t>
            </w:r>
            <w:proofErr w:type="spellStart"/>
            <w:r w:rsidRPr="00D968A9">
              <w:rPr>
                <w:sz w:val="18"/>
                <w:szCs w:val="18"/>
              </w:rPr>
              <w:t>stover</w:t>
            </w:r>
            <w:proofErr w:type="spellEnd"/>
            <w:r w:rsidRPr="00D968A9">
              <w:rPr>
                <w:sz w:val="18"/>
                <w:szCs w:val="18"/>
              </w:rPr>
              <w:t xml:space="preserve"> quantity and fodder quality</w:t>
            </w:r>
            <w:r>
              <w:rPr>
                <w:sz w:val="18"/>
                <w:szCs w:val="18"/>
              </w:rPr>
              <w:t>)</w:t>
            </w:r>
            <w:r w:rsidRPr="00D968A9">
              <w:rPr>
                <w:sz w:val="18"/>
                <w:szCs w:val="18"/>
              </w:rPr>
              <w:t>.</w:t>
            </w:r>
            <w:r>
              <w:rPr>
                <w:sz w:val="18"/>
                <w:szCs w:val="18"/>
              </w:rPr>
              <w:t xml:space="preserve"> </w:t>
            </w:r>
          </w:p>
          <w:p w14:paraId="12B84A7C" w14:textId="77777777" w:rsidR="00F04D52" w:rsidRDefault="00F04D52" w:rsidP="00F04D52">
            <w:pPr>
              <w:rPr>
                <w:sz w:val="18"/>
                <w:szCs w:val="18"/>
              </w:rPr>
            </w:pPr>
          </w:p>
          <w:p w14:paraId="430E2953" w14:textId="77777777" w:rsidR="00F04D52" w:rsidRDefault="00F04D52" w:rsidP="00F04D52">
            <w:pPr>
              <w:rPr>
                <w:sz w:val="18"/>
                <w:szCs w:val="18"/>
              </w:rPr>
            </w:pPr>
            <w:r w:rsidRPr="00D968A9">
              <w:rPr>
                <w:sz w:val="18"/>
                <w:szCs w:val="18"/>
              </w:rPr>
              <w:t xml:space="preserve">In </w:t>
            </w:r>
            <w:r>
              <w:rPr>
                <w:sz w:val="18"/>
                <w:szCs w:val="18"/>
              </w:rPr>
              <w:t>the livestock CRP,</w:t>
            </w:r>
            <w:r w:rsidRPr="00D968A9">
              <w:rPr>
                <w:sz w:val="18"/>
                <w:szCs w:val="18"/>
              </w:rPr>
              <w:t xml:space="preserve"> </w:t>
            </w:r>
            <w:r>
              <w:rPr>
                <w:sz w:val="18"/>
                <w:szCs w:val="18"/>
              </w:rPr>
              <w:t xml:space="preserve">existing and new </w:t>
            </w:r>
            <w:r w:rsidRPr="00D968A9">
              <w:rPr>
                <w:sz w:val="18"/>
                <w:szCs w:val="18"/>
              </w:rPr>
              <w:t xml:space="preserve">information about crop residue fodder traits </w:t>
            </w:r>
            <w:r>
              <w:rPr>
                <w:sz w:val="18"/>
                <w:szCs w:val="18"/>
              </w:rPr>
              <w:t>will be used to inform</w:t>
            </w:r>
            <w:r w:rsidRPr="00D968A9">
              <w:rPr>
                <w:sz w:val="18"/>
                <w:szCs w:val="18"/>
              </w:rPr>
              <w:t xml:space="preserve"> improvement</w:t>
            </w:r>
            <w:r>
              <w:rPr>
                <w:sz w:val="18"/>
                <w:szCs w:val="18"/>
              </w:rPr>
              <w:t xml:space="preserve"> programs for </w:t>
            </w:r>
            <w:r w:rsidRPr="00D968A9">
              <w:rPr>
                <w:sz w:val="18"/>
                <w:szCs w:val="18"/>
              </w:rPr>
              <w:t xml:space="preserve">key cereals and legumes to provide cultivars that are superior in multiple traits relating to grain as food and feed and to crop residues as fodder. </w:t>
            </w:r>
          </w:p>
          <w:p w14:paraId="11542A6D" w14:textId="77777777" w:rsidR="00F04D52" w:rsidRDefault="00F04D52" w:rsidP="00F04D52">
            <w:pPr>
              <w:rPr>
                <w:sz w:val="18"/>
                <w:szCs w:val="18"/>
              </w:rPr>
            </w:pPr>
          </w:p>
          <w:p w14:paraId="64EC3FD5" w14:textId="77777777" w:rsidR="00F04D52" w:rsidRDefault="00F04D52" w:rsidP="00F04D52">
            <w:pPr>
              <w:rPr>
                <w:sz w:val="18"/>
                <w:szCs w:val="18"/>
              </w:rPr>
            </w:pPr>
            <w:r w:rsidRPr="00D968A9">
              <w:rPr>
                <w:sz w:val="18"/>
                <w:szCs w:val="18"/>
              </w:rPr>
              <w:lastRenderedPageBreak/>
              <w:t xml:space="preserve">There are therefore mechanisms in place to assure that: 1) </w:t>
            </w:r>
            <w:r>
              <w:rPr>
                <w:sz w:val="18"/>
                <w:szCs w:val="18"/>
              </w:rPr>
              <w:t xml:space="preserve">robust parameters to assess </w:t>
            </w:r>
            <w:r w:rsidRPr="00D968A9">
              <w:rPr>
                <w:sz w:val="18"/>
                <w:szCs w:val="18"/>
              </w:rPr>
              <w:t>variations in food-feed-fodder traits will be generated; and 2) information will be used in mul</w:t>
            </w:r>
            <w:r>
              <w:rPr>
                <w:sz w:val="18"/>
                <w:szCs w:val="18"/>
              </w:rPr>
              <w:t>ti-dimensional crop improvement</w:t>
            </w:r>
            <w:r w:rsidRPr="00D968A9">
              <w:rPr>
                <w:sz w:val="18"/>
                <w:szCs w:val="18"/>
              </w:rPr>
              <w:t>.</w:t>
            </w:r>
            <w:r>
              <w:rPr>
                <w:sz w:val="18"/>
                <w:szCs w:val="18"/>
              </w:rPr>
              <w:t xml:space="preserve"> The genetic gains platform will further strengthen the opportunities for new science to identify feed quality traits.</w:t>
            </w:r>
          </w:p>
          <w:p w14:paraId="5659BCF9" w14:textId="77777777" w:rsidR="00F04D52" w:rsidRDefault="00F04D52" w:rsidP="00F04D52">
            <w:pPr>
              <w:rPr>
                <w:sz w:val="18"/>
                <w:szCs w:val="18"/>
              </w:rPr>
            </w:pPr>
          </w:p>
          <w:p w14:paraId="4BB37A31" w14:textId="37BEA99B" w:rsidR="00F04D52" w:rsidRDefault="00F04D52" w:rsidP="00F04D52">
            <w:pPr>
              <w:rPr>
                <w:sz w:val="18"/>
                <w:szCs w:val="18"/>
              </w:rPr>
            </w:pPr>
            <w:r>
              <w:rPr>
                <w:b/>
                <w:sz w:val="18"/>
                <w:szCs w:val="18"/>
              </w:rPr>
              <w:t xml:space="preserve">On </w:t>
            </w:r>
            <w:r w:rsidRPr="00DB56FA">
              <w:rPr>
                <w:b/>
                <w:sz w:val="18"/>
                <w:szCs w:val="18"/>
              </w:rPr>
              <w:t>p</w:t>
            </w:r>
            <w:r>
              <w:rPr>
                <w:b/>
                <w:sz w:val="18"/>
                <w:szCs w:val="18"/>
              </w:rPr>
              <w:t xml:space="preserve">otential trade-offs between </w:t>
            </w:r>
            <w:r w:rsidRPr="00DB56FA">
              <w:rPr>
                <w:b/>
                <w:sz w:val="18"/>
                <w:szCs w:val="18"/>
              </w:rPr>
              <w:t>uses for crop and livestock production</w:t>
            </w:r>
            <w:r>
              <w:rPr>
                <w:sz w:val="18"/>
                <w:szCs w:val="18"/>
              </w:rPr>
              <w:t xml:space="preserve">, use of a systems approach by the </w:t>
            </w:r>
            <w:r w:rsidRPr="00612D51">
              <w:rPr>
                <w:sz w:val="18"/>
                <w:szCs w:val="18"/>
              </w:rPr>
              <w:t xml:space="preserve">CRP (in </w:t>
            </w:r>
            <w:r w:rsidR="00AB5151">
              <w:rPr>
                <w:sz w:val="18"/>
                <w:szCs w:val="18"/>
              </w:rPr>
              <w:t>the feeds and forages, environment and LLAFS flagships</w:t>
            </w:r>
            <w:r w:rsidRPr="00612D51">
              <w:rPr>
                <w:sz w:val="18"/>
                <w:szCs w:val="18"/>
              </w:rPr>
              <w:t>)</w:t>
            </w:r>
            <w:r>
              <w:rPr>
                <w:sz w:val="18"/>
                <w:szCs w:val="18"/>
              </w:rPr>
              <w:t xml:space="preserve"> allows for analysis of trade-offs between multiple objectives, including social and economic as well as productivity related. There will be many such trade-offs relating to crop versus livestock production. In relation to the food – feed crops generated by the full purpose crop platform, trade-offs will be evaluated from several perspectives to understand how the improved varieties can optimally respond to demand for both food and feed, thus resolving competition for land and other inputs. </w:t>
            </w:r>
          </w:p>
          <w:p w14:paraId="3F638C8E" w14:textId="77777777" w:rsidR="00F04D52" w:rsidRDefault="00F04D52" w:rsidP="00F04D52">
            <w:pPr>
              <w:rPr>
                <w:sz w:val="18"/>
                <w:szCs w:val="18"/>
              </w:rPr>
            </w:pPr>
          </w:p>
          <w:p w14:paraId="69140CDC" w14:textId="5DD1E7DD" w:rsidR="00F04D52" w:rsidRDefault="00F04D52" w:rsidP="00F04D52">
            <w:pPr>
              <w:rPr>
                <w:sz w:val="18"/>
                <w:szCs w:val="18"/>
              </w:rPr>
            </w:pPr>
            <w:r>
              <w:rPr>
                <w:sz w:val="18"/>
                <w:szCs w:val="18"/>
              </w:rPr>
              <w:t>It will not be possible to resolve all trade-offs with this approach, however, especially those between retaining biomass to improve soil quality versus using it for animal feed (</w:t>
            </w:r>
            <w:proofErr w:type="spellStart"/>
            <w:r>
              <w:rPr>
                <w:sz w:val="18"/>
                <w:szCs w:val="18"/>
              </w:rPr>
              <w:t>Valbuena</w:t>
            </w:r>
            <w:proofErr w:type="spellEnd"/>
            <w:r>
              <w:rPr>
                <w:sz w:val="18"/>
                <w:szCs w:val="18"/>
              </w:rPr>
              <w:t xml:space="preserve"> </w:t>
            </w:r>
            <w:r w:rsidR="00464D98" w:rsidRPr="00464D98">
              <w:rPr>
                <w:i/>
                <w:sz w:val="18"/>
                <w:szCs w:val="18"/>
              </w:rPr>
              <w:t>et al.,</w:t>
            </w:r>
            <w:r>
              <w:rPr>
                <w:sz w:val="18"/>
                <w:szCs w:val="18"/>
              </w:rPr>
              <w:t xml:space="preserve"> 2012), or the synergies from incorporating animal manure to improve soil quality. These analyses will require integration with the other AFS CRPs, as livestock are present in most smallholder systems, and this provides a further focus for interaction with the AFS CRPs so that the integrated, and at times essential role of animals in smallholder systems is not overlooked. </w:t>
            </w:r>
          </w:p>
          <w:p w14:paraId="413E35A1" w14:textId="77777777" w:rsidR="00F04D52" w:rsidRDefault="00F04D52" w:rsidP="00F04D52">
            <w:pPr>
              <w:rPr>
                <w:sz w:val="18"/>
                <w:szCs w:val="18"/>
              </w:rPr>
            </w:pPr>
          </w:p>
          <w:p w14:paraId="287D6C7D" w14:textId="6EB7AE54" w:rsidR="00AB5151" w:rsidRPr="007431C4" w:rsidRDefault="00AB5151" w:rsidP="00F04D52">
            <w:pPr>
              <w:rPr>
                <w:sz w:val="18"/>
                <w:szCs w:val="18"/>
              </w:rPr>
            </w:pPr>
            <w:r>
              <w:rPr>
                <w:sz w:val="18"/>
                <w:szCs w:val="18"/>
              </w:rPr>
              <w:t>References</w:t>
            </w:r>
          </w:p>
          <w:p w14:paraId="1214535D" w14:textId="77777777" w:rsidR="00AB5151" w:rsidRPr="00AB5151" w:rsidRDefault="00F04D52" w:rsidP="00AB5151">
            <w:pPr>
              <w:pStyle w:val="ListParagraph"/>
              <w:numPr>
                <w:ilvl w:val="0"/>
                <w:numId w:val="43"/>
              </w:numPr>
              <w:rPr>
                <w:sz w:val="18"/>
                <w:szCs w:val="18"/>
              </w:rPr>
            </w:pPr>
            <w:proofErr w:type="spellStart"/>
            <w:r w:rsidRPr="00AB5151">
              <w:rPr>
                <w:sz w:val="18"/>
                <w:szCs w:val="18"/>
              </w:rPr>
              <w:t>Aruna</w:t>
            </w:r>
            <w:proofErr w:type="spellEnd"/>
            <w:r w:rsidRPr="00AB5151">
              <w:rPr>
                <w:sz w:val="18"/>
                <w:szCs w:val="18"/>
              </w:rPr>
              <w:t xml:space="preserve">, C., </w:t>
            </w:r>
            <w:proofErr w:type="spellStart"/>
            <w:r w:rsidRPr="00AB5151">
              <w:rPr>
                <w:sz w:val="18"/>
                <w:szCs w:val="18"/>
              </w:rPr>
              <w:t>Swarnalatha</w:t>
            </w:r>
            <w:proofErr w:type="spellEnd"/>
            <w:r w:rsidRPr="00AB5151">
              <w:rPr>
                <w:sz w:val="18"/>
                <w:szCs w:val="18"/>
              </w:rPr>
              <w:t xml:space="preserve">, M., Kumar, P. P., </w:t>
            </w:r>
            <w:proofErr w:type="spellStart"/>
            <w:r w:rsidRPr="00AB5151">
              <w:rPr>
                <w:sz w:val="18"/>
                <w:szCs w:val="18"/>
              </w:rPr>
              <w:t>Devender</w:t>
            </w:r>
            <w:proofErr w:type="spellEnd"/>
            <w:r w:rsidR="00AB5151" w:rsidRPr="00AB5151">
              <w:rPr>
                <w:sz w:val="18"/>
                <w:szCs w:val="18"/>
              </w:rPr>
              <w:t xml:space="preserve">, V., </w:t>
            </w:r>
            <w:proofErr w:type="spellStart"/>
            <w:r w:rsidR="00AB5151" w:rsidRPr="00AB5151">
              <w:rPr>
                <w:sz w:val="18"/>
                <w:szCs w:val="18"/>
              </w:rPr>
              <w:t>Suguna</w:t>
            </w:r>
            <w:proofErr w:type="spellEnd"/>
            <w:r w:rsidR="00AB5151" w:rsidRPr="00AB5151">
              <w:rPr>
                <w:sz w:val="18"/>
                <w:szCs w:val="18"/>
              </w:rPr>
              <w:t xml:space="preserve">, M., </w:t>
            </w:r>
            <w:proofErr w:type="spellStart"/>
            <w:r w:rsidR="00AB5151" w:rsidRPr="00AB5151">
              <w:rPr>
                <w:sz w:val="18"/>
                <w:szCs w:val="18"/>
              </w:rPr>
              <w:t>Blümmel</w:t>
            </w:r>
            <w:proofErr w:type="spellEnd"/>
            <w:r w:rsidR="00AB5151" w:rsidRPr="00AB5151">
              <w:rPr>
                <w:sz w:val="18"/>
                <w:szCs w:val="18"/>
              </w:rPr>
              <w:t xml:space="preserve">, M., and </w:t>
            </w:r>
            <w:proofErr w:type="spellStart"/>
            <w:r w:rsidR="00AB5151" w:rsidRPr="00AB5151">
              <w:rPr>
                <w:sz w:val="18"/>
                <w:szCs w:val="18"/>
              </w:rPr>
              <w:t>Patil</w:t>
            </w:r>
            <w:proofErr w:type="spellEnd"/>
            <w:r w:rsidR="00AB5151" w:rsidRPr="00AB5151">
              <w:rPr>
                <w:sz w:val="18"/>
                <w:szCs w:val="18"/>
              </w:rPr>
              <w:t>, J.V. 2015</w:t>
            </w:r>
            <w:r w:rsidRPr="00AB5151">
              <w:rPr>
                <w:sz w:val="18"/>
                <w:szCs w:val="18"/>
              </w:rPr>
              <w:t xml:space="preserve">. Genetic options for improving fodder yield and quality in forage sorghum. </w:t>
            </w:r>
            <w:r w:rsidRPr="00AB5151">
              <w:rPr>
                <w:i/>
                <w:iCs/>
                <w:sz w:val="18"/>
                <w:szCs w:val="18"/>
              </w:rPr>
              <w:t>Tropical Grasslands-</w:t>
            </w:r>
            <w:proofErr w:type="spellStart"/>
            <w:r w:rsidRPr="00AB5151">
              <w:rPr>
                <w:i/>
                <w:iCs/>
                <w:sz w:val="18"/>
                <w:szCs w:val="18"/>
              </w:rPr>
              <w:t>Forrajes</w:t>
            </w:r>
            <w:proofErr w:type="spellEnd"/>
            <w:r w:rsidRPr="00AB5151">
              <w:rPr>
                <w:i/>
                <w:iCs/>
                <w:sz w:val="18"/>
                <w:szCs w:val="18"/>
              </w:rPr>
              <w:t xml:space="preserve"> </w:t>
            </w:r>
            <w:proofErr w:type="spellStart"/>
            <w:r w:rsidRPr="00AB5151">
              <w:rPr>
                <w:i/>
                <w:iCs/>
                <w:sz w:val="18"/>
                <w:szCs w:val="18"/>
              </w:rPr>
              <w:t>Tropicales</w:t>
            </w:r>
            <w:proofErr w:type="spellEnd"/>
            <w:r w:rsidRPr="00AB5151">
              <w:rPr>
                <w:sz w:val="18"/>
                <w:szCs w:val="18"/>
              </w:rPr>
              <w:t xml:space="preserve"> </w:t>
            </w:r>
            <w:r w:rsidRPr="00AB5151">
              <w:rPr>
                <w:i/>
                <w:iCs/>
                <w:sz w:val="18"/>
                <w:szCs w:val="18"/>
              </w:rPr>
              <w:t>3</w:t>
            </w:r>
            <w:r w:rsidRPr="00AB5151">
              <w:rPr>
                <w:sz w:val="18"/>
                <w:szCs w:val="18"/>
              </w:rPr>
              <w:t>(1)</w:t>
            </w:r>
            <w:r w:rsidR="00AB5151" w:rsidRPr="00AB5151">
              <w:rPr>
                <w:sz w:val="18"/>
                <w:szCs w:val="18"/>
              </w:rPr>
              <w:t xml:space="preserve">: </w:t>
            </w:r>
            <w:r w:rsidRPr="00AB5151">
              <w:rPr>
                <w:sz w:val="18"/>
                <w:szCs w:val="18"/>
              </w:rPr>
              <w:t>49-58.</w:t>
            </w:r>
          </w:p>
          <w:p w14:paraId="662A5DB2" w14:textId="30CED9FF" w:rsidR="00F04D52" w:rsidRPr="00AB5151" w:rsidRDefault="00AB5151" w:rsidP="00AB5151">
            <w:pPr>
              <w:pStyle w:val="ListParagraph"/>
              <w:numPr>
                <w:ilvl w:val="0"/>
                <w:numId w:val="43"/>
              </w:numPr>
              <w:rPr>
                <w:rFonts w:eastAsia="Times New Roman" w:cs="Times New Roman"/>
                <w:sz w:val="18"/>
                <w:szCs w:val="18"/>
                <w:lang w:val="en-US"/>
              </w:rPr>
            </w:pPr>
            <w:proofErr w:type="spellStart"/>
            <w:r w:rsidRPr="00AB5151">
              <w:rPr>
                <w:rFonts w:eastAsia="Times New Roman" w:cs="Times New Roman"/>
                <w:sz w:val="18"/>
                <w:szCs w:val="18"/>
                <w:lang w:val="en-US"/>
              </w:rPr>
              <w:t>Lenné</w:t>
            </w:r>
            <w:proofErr w:type="spellEnd"/>
            <w:r w:rsidRPr="00AB5151">
              <w:rPr>
                <w:rFonts w:eastAsia="Times New Roman" w:cs="Times New Roman"/>
                <w:sz w:val="18"/>
                <w:szCs w:val="18"/>
                <w:lang w:val="en-US"/>
              </w:rPr>
              <w:t xml:space="preserve">, J. M., </w:t>
            </w:r>
            <w:r w:rsidR="00F04D52" w:rsidRPr="00AB5151">
              <w:rPr>
                <w:rFonts w:eastAsia="Times New Roman" w:cs="Times New Roman"/>
                <w:sz w:val="18"/>
                <w:szCs w:val="18"/>
                <w:lang w:val="en-US"/>
              </w:rPr>
              <w:t>Fernandez</w:t>
            </w:r>
            <w:r w:rsidRPr="00AB5151">
              <w:rPr>
                <w:rFonts w:eastAsia="Times New Roman" w:cs="Times New Roman"/>
                <w:sz w:val="18"/>
                <w:szCs w:val="18"/>
                <w:lang w:val="en-US"/>
              </w:rPr>
              <w:t xml:space="preserve">-Rivera, S., and </w:t>
            </w:r>
            <w:proofErr w:type="spellStart"/>
            <w:r w:rsidRPr="00AB5151">
              <w:rPr>
                <w:rFonts w:eastAsia="Times New Roman" w:cs="Times New Roman"/>
                <w:sz w:val="18"/>
                <w:szCs w:val="18"/>
                <w:lang w:val="en-US"/>
              </w:rPr>
              <w:t>Blümmel</w:t>
            </w:r>
            <w:proofErr w:type="spellEnd"/>
            <w:r w:rsidRPr="00AB5151">
              <w:rPr>
                <w:rFonts w:eastAsia="Times New Roman" w:cs="Times New Roman"/>
                <w:sz w:val="18"/>
                <w:szCs w:val="18"/>
                <w:lang w:val="en-US"/>
              </w:rPr>
              <w:t xml:space="preserve">, M. 2003. </w:t>
            </w:r>
            <w:r w:rsidR="00F04D52" w:rsidRPr="00AB5151">
              <w:rPr>
                <w:rFonts w:eastAsia="Times New Roman" w:cs="Times New Roman"/>
                <w:sz w:val="18"/>
                <w:szCs w:val="18"/>
                <w:lang w:val="en-US"/>
              </w:rPr>
              <w:t>Approaches to improve the utilizatio</w:t>
            </w:r>
            <w:r w:rsidRPr="00AB5151">
              <w:rPr>
                <w:rFonts w:eastAsia="Times New Roman" w:cs="Times New Roman"/>
                <w:sz w:val="18"/>
                <w:szCs w:val="18"/>
                <w:lang w:val="en-US"/>
              </w:rPr>
              <w:t>n of food–feed crops—synthesis.</w:t>
            </w:r>
            <w:r w:rsidR="00F04D52" w:rsidRPr="00AB5151">
              <w:rPr>
                <w:rFonts w:eastAsia="Times New Roman" w:cs="Times New Roman"/>
                <w:sz w:val="18"/>
                <w:szCs w:val="18"/>
                <w:lang w:val="en-US"/>
              </w:rPr>
              <w:t xml:space="preserve"> </w:t>
            </w:r>
            <w:r w:rsidR="00F04D52" w:rsidRPr="00AB5151">
              <w:rPr>
                <w:rFonts w:eastAsia="Times New Roman" w:cs="Times New Roman"/>
                <w:i/>
                <w:iCs/>
                <w:sz w:val="18"/>
                <w:szCs w:val="18"/>
                <w:lang w:val="en-US"/>
              </w:rPr>
              <w:t>Field Crops Research</w:t>
            </w:r>
            <w:r w:rsidR="00F04D52" w:rsidRPr="00AB5151">
              <w:rPr>
                <w:rFonts w:eastAsia="Times New Roman" w:cs="Times New Roman"/>
                <w:sz w:val="18"/>
                <w:szCs w:val="18"/>
                <w:lang w:val="en-US"/>
              </w:rPr>
              <w:t xml:space="preserve"> 84</w:t>
            </w:r>
            <w:r w:rsidRPr="00AB5151">
              <w:rPr>
                <w:rFonts w:eastAsia="Times New Roman" w:cs="Times New Roman"/>
                <w:sz w:val="18"/>
                <w:szCs w:val="18"/>
                <w:lang w:val="en-US"/>
              </w:rPr>
              <w:t>(</w:t>
            </w:r>
            <w:r w:rsidR="00F04D52" w:rsidRPr="00AB5151">
              <w:rPr>
                <w:rFonts w:eastAsia="Times New Roman" w:cs="Times New Roman"/>
                <w:sz w:val="18"/>
                <w:szCs w:val="18"/>
                <w:lang w:val="en-US"/>
              </w:rPr>
              <w:t>1</w:t>
            </w:r>
            <w:r w:rsidRPr="00AB5151">
              <w:rPr>
                <w:rFonts w:eastAsia="Times New Roman" w:cs="Times New Roman"/>
                <w:sz w:val="18"/>
                <w:szCs w:val="18"/>
                <w:lang w:val="en-US"/>
              </w:rPr>
              <w:t>)</w:t>
            </w:r>
            <w:r w:rsidR="00F04D52" w:rsidRPr="00AB5151">
              <w:rPr>
                <w:rFonts w:eastAsia="Times New Roman" w:cs="Times New Roman"/>
                <w:sz w:val="18"/>
                <w:szCs w:val="18"/>
                <w:lang w:val="en-US"/>
              </w:rPr>
              <w:t>: 213-222.</w:t>
            </w:r>
          </w:p>
          <w:p w14:paraId="14C717AC" w14:textId="7D9A7372" w:rsidR="00F04D52" w:rsidRPr="00AB5151" w:rsidRDefault="00AB5151" w:rsidP="00AB5151">
            <w:pPr>
              <w:pStyle w:val="ListParagraph"/>
              <w:numPr>
                <w:ilvl w:val="0"/>
                <w:numId w:val="43"/>
              </w:numPr>
              <w:rPr>
                <w:sz w:val="18"/>
                <w:szCs w:val="18"/>
              </w:rPr>
            </w:pPr>
            <w:proofErr w:type="spellStart"/>
            <w:r w:rsidRPr="00AB5151">
              <w:rPr>
                <w:sz w:val="18"/>
                <w:szCs w:val="18"/>
              </w:rPr>
              <w:t>Valbuena</w:t>
            </w:r>
            <w:proofErr w:type="spellEnd"/>
            <w:r w:rsidRPr="00AB5151">
              <w:rPr>
                <w:sz w:val="18"/>
                <w:szCs w:val="18"/>
              </w:rPr>
              <w:t xml:space="preserve">, D., Erenstein, O., Homann, S., Abdoulaye, T., </w:t>
            </w:r>
            <w:proofErr w:type="spellStart"/>
            <w:r w:rsidRPr="00AB5151">
              <w:rPr>
                <w:sz w:val="18"/>
                <w:szCs w:val="18"/>
              </w:rPr>
              <w:t>Claessens</w:t>
            </w:r>
            <w:proofErr w:type="spellEnd"/>
            <w:r w:rsidRPr="00AB5151">
              <w:rPr>
                <w:sz w:val="18"/>
                <w:szCs w:val="18"/>
              </w:rPr>
              <w:t xml:space="preserve">, L., Duncan, A.J., Gérard, B., Rufino, M.C., Teufel, N., Rooyen, A. van and Wijk, M.T. van. 2012. Conservation agriculture in mixed crop-livestock systems: Scoping crop residue trade-offs in sub-Saharan Africa and South Asia. </w:t>
            </w:r>
            <w:r w:rsidRPr="00AB5151">
              <w:rPr>
                <w:i/>
                <w:sz w:val="18"/>
                <w:szCs w:val="18"/>
              </w:rPr>
              <w:t>Field Crops Research</w:t>
            </w:r>
            <w:r w:rsidRPr="00AB5151">
              <w:rPr>
                <w:sz w:val="18"/>
                <w:szCs w:val="18"/>
              </w:rPr>
              <w:t xml:space="preserve"> 132:175-184 </w:t>
            </w:r>
          </w:p>
        </w:tc>
        <w:tc>
          <w:tcPr>
            <w:tcW w:w="1001" w:type="pct"/>
          </w:tcPr>
          <w:p w14:paraId="4A171F55" w14:textId="77BD1D33" w:rsidR="00F04D52" w:rsidRDefault="003828C4" w:rsidP="00AB5151">
            <w:pPr>
              <w:rPr>
                <w:sz w:val="18"/>
                <w:szCs w:val="18"/>
              </w:rPr>
            </w:pPr>
            <w:r>
              <w:rPr>
                <w:sz w:val="18"/>
                <w:szCs w:val="18"/>
              </w:rPr>
              <w:lastRenderedPageBreak/>
              <w:t>Updates have been made to the narratives</w:t>
            </w:r>
            <w:r w:rsidR="00F04D52" w:rsidRPr="00AB5151">
              <w:rPr>
                <w:sz w:val="18"/>
                <w:szCs w:val="18"/>
              </w:rPr>
              <w:t xml:space="preserve"> </w:t>
            </w:r>
            <w:r>
              <w:rPr>
                <w:sz w:val="18"/>
                <w:szCs w:val="18"/>
              </w:rPr>
              <w:t>of</w:t>
            </w:r>
            <w:r w:rsidR="00F04D52" w:rsidRPr="00AB5151">
              <w:rPr>
                <w:sz w:val="18"/>
                <w:szCs w:val="18"/>
              </w:rPr>
              <w:t xml:space="preserve"> </w:t>
            </w:r>
            <w:r w:rsidR="00AB5151">
              <w:rPr>
                <w:sz w:val="18"/>
                <w:szCs w:val="18"/>
              </w:rPr>
              <w:t>the</w:t>
            </w:r>
            <w:r w:rsidR="00AB5151" w:rsidRPr="00AB5151">
              <w:rPr>
                <w:sz w:val="18"/>
                <w:szCs w:val="18"/>
              </w:rPr>
              <w:t xml:space="preserve"> feeds and forages, e</w:t>
            </w:r>
            <w:r>
              <w:rPr>
                <w:sz w:val="18"/>
                <w:szCs w:val="18"/>
              </w:rPr>
              <w:t>nvironment and LLAFS flagships</w:t>
            </w:r>
          </w:p>
          <w:p w14:paraId="43F72EFD" w14:textId="77777777" w:rsidR="00AB5151" w:rsidRPr="00AB5151" w:rsidRDefault="00AB5151" w:rsidP="00AB5151">
            <w:pPr>
              <w:rPr>
                <w:sz w:val="18"/>
                <w:szCs w:val="18"/>
              </w:rPr>
            </w:pPr>
          </w:p>
          <w:p w14:paraId="7419CD21" w14:textId="3EAE04F8" w:rsidR="00F04D52" w:rsidRPr="000B70C9" w:rsidRDefault="00AB5151" w:rsidP="00F04D52">
            <w:pPr>
              <w:rPr>
                <w:sz w:val="18"/>
                <w:szCs w:val="18"/>
              </w:rPr>
            </w:pPr>
            <w:r>
              <w:rPr>
                <w:sz w:val="18"/>
                <w:szCs w:val="18"/>
              </w:rPr>
              <w:t>Feeds and forages:</w:t>
            </w:r>
          </w:p>
          <w:p w14:paraId="463B983C" w14:textId="6C35F1E1" w:rsidR="003828C4" w:rsidRDefault="00F04D52" w:rsidP="00F04D52">
            <w:pPr>
              <w:pStyle w:val="ListParagraph"/>
              <w:numPr>
                <w:ilvl w:val="0"/>
                <w:numId w:val="6"/>
              </w:numPr>
              <w:rPr>
                <w:sz w:val="18"/>
                <w:szCs w:val="18"/>
              </w:rPr>
            </w:pPr>
            <w:r>
              <w:rPr>
                <w:sz w:val="18"/>
                <w:szCs w:val="18"/>
              </w:rPr>
              <w:t>Section 2.3.1</w:t>
            </w:r>
            <w:r w:rsidR="00886630">
              <w:rPr>
                <w:sz w:val="18"/>
                <w:szCs w:val="18"/>
              </w:rPr>
              <w:t>.3</w:t>
            </w:r>
            <w:r w:rsidR="002458EC">
              <w:rPr>
                <w:sz w:val="18"/>
                <w:szCs w:val="18"/>
              </w:rPr>
              <w:t xml:space="preserve">: </w:t>
            </w:r>
            <w:r w:rsidR="003828C4">
              <w:rPr>
                <w:sz w:val="18"/>
                <w:szCs w:val="18"/>
              </w:rPr>
              <w:t xml:space="preserve">Changes on </w:t>
            </w:r>
            <w:r w:rsidR="00886630">
              <w:rPr>
                <w:sz w:val="18"/>
                <w:szCs w:val="18"/>
              </w:rPr>
              <w:t>page 119</w:t>
            </w:r>
          </w:p>
          <w:p w14:paraId="6BE65267" w14:textId="7FFCE180" w:rsidR="003828C4" w:rsidRDefault="002458EC" w:rsidP="00F04D52">
            <w:pPr>
              <w:pStyle w:val="ListParagraph"/>
              <w:numPr>
                <w:ilvl w:val="0"/>
                <w:numId w:val="6"/>
              </w:numPr>
              <w:rPr>
                <w:sz w:val="18"/>
                <w:szCs w:val="18"/>
              </w:rPr>
            </w:pPr>
            <w:r>
              <w:rPr>
                <w:sz w:val="18"/>
                <w:szCs w:val="18"/>
              </w:rPr>
              <w:t xml:space="preserve">Section 2.3.1.4: </w:t>
            </w:r>
            <w:r w:rsidR="003828C4">
              <w:rPr>
                <w:sz w:val="18"/>
                <w:szCs w:val="18"/>
              </w:rPr>
              <w:t>Changes on p</w:t>
            </w:r>
            <w:r w:rsidR="00886630">
              <w:rPr>
                <w:sz w:val="18"/>
                <w:szCs w:val="18"/>
              </w:rPr>
              <w:t>age 124</w:t>
            </w:r>
          </w:p>
          <w:p w14:paraId="1B95CE7B" w14:textId="77777777" w:rsidR="003828C4" w:rsidRDefault="003828C4" w:rsidP="00F04D52">
            <w:pPr>
              <w:rPr>
                <w:sz w:val="18"/>
                <w:szCs w:val="18"/>
              </w:rPr>
            </w:pPr>
          </w:p>
          <w:p w14:paraId="260793B5" w14:textId="0BD1E427" w:rsidR="00F04D52" w:rsidRDefault="003828C4" w:rsidP="00F04D52">
            <w:pPr>
              <w:rPr>
                <w:sz w:val="18"/>
                <w:szCs w:val="18"/>
              </w:rPr>
            </w:pPr>
            <w:r>
              <w:rPr>
                <w:sz w:val="18"/>
                <w:szCs w:val="18"/>
              </w:rPr>
              <w:t>E</w:t>
            </w:r>
            <w:r w:rsidR="00AB5151">
              <w:rPr>
                <w:sz w:val="18"/>
                <w:szCs w:val="18"/>
              </w:rPr>
              <w:t>nvironment</w:t>
            </w:r>
            <w:r w:rsidR="00F04D52">
              <w:rPr>
                <w:sz w:val="18"/>
                <w:szCs w:val="18"/>
              </w:rPr>
              <w:t>:</w:t>
            </w:r>
          </w:p>
          <w:p w14:paraId="29298847" w14:textId="4D8990CA" w:rsidR="003828C4" w:rsidRDefault="00F04D52" w:rsidP="00F04D52">
            <w:pPr>
              <w:pStyle w:val="ListParagraph"/>
              <w:numPr>
                <w:ilvl w:val="0"/>
                <w:numId w:val="6"/>
              </w:numPr>
              <w:rPr>
                <w:sz w:val="18"/>
                <w:szCs w:val="18"/>
              </w:rPr>
            </w:pPr>
            <w:r>
              <w:rPr>
                <w:sz w:val="18"/>
                <w:szCs w:val="18"/>
              </w:rPr>
              <w:t>Section 2.4.1.4</w:t>
            </w:r>
            <w:r w:rsidR="002458EC">
              <w:rPr>
                <w:sz w:val="18"/>
                <w:szCs w:val="18"/>
              </w:rPr>
              <w:t>:</w:t>
            </w:r>
            <w:r w:rsidR="003828C4">
              <w:rPr>
                <w:sz w:val="18"/>
                <w:szCs w:val="18"/>
              </w:rPr>
              <w:t xml:space="preserve"> Changes on</w:t>
            </w:r>
            <w:r w:rsidR="00886630">
              <w:rPr>
                <w:sz w:val="18"/>
                <w:szCs w:val="18"/>
              </w:rPr>
              <w:t xml:space="preserve"> page 148</w:t>
            </w:r>
          </w:p>
          <w:p w14:paraId="64B6D4A1" w14:textId="415547C0" w:rsidR="003828C4" w:rsidRDefault="00F04D52" w:rsidP="00F04D52">
            <w:pPr>
              <w:pStyle w:val="ListParagraph"/>
              <w:numPr>
                <w:ilvl w:val="0"/>
                <w:numId w:val="6"/>
              </w:numPr>
              <w:rPr>
                <w:sz w:val="18"/>
                <w:szCs w:val="18"/>
              </w:rPr>
            </w:pPr>
            <w:r>
              <w:rPr>
                <w:sz w:val="18"/>
                <w:szCs w:val="18"/>
              </w:rPr>
              <w:t xml:space="preserve">Section 2.4.1.5: </w:t>
            </w:r>
            <w:r w:rsidR="003828C4">
              <w:rPr>
                <w:sz w:val="18"/>
                <w:szCs w:val="18"/>
              </w:rPr>
              <w:t xml:space="preserve">Changes on </w:t>
            </w:r>
            <w:r w:rsidR="00886630">
              <w:rPr>
                <w:sz w:val="18"/>
                <w:szCs w:val="18"/>
              </w:rPr>
              <w:t>page 150</w:t>
            </w:r>
          </w:p>
          <w:p w14:paraId="568055BD" w14:textId="37F71420" w:rsidR="003828C4" w:rsidRDefault="00F04D52" w:rsidP="00F04D52">
            <w:pPr>
              <w:pStyle w:val="ListParagraph"/>
              <w:numPr>
                <w:ilvl w:val="0"/>
                <w:numId w:val="6"/>
              </w:numPr>
              <w:rPr>
                <w:sz w:val="18"/>
                <w:szCs w:val="18"/>
              </w:rPr>
            </w:pPr>
            <w:r>
              <w:rPr>
                <w:sz w:val="18"/>
                <w:szCs w:val="18"/>
              </w:rPr>
              <w:lastRenderedPageBreak/>
              <w:t xml:space="preserve">Section 2.4.1.6: </w:t>
            </w:r>
            <w:r w:rsidR="003828C4">
              <w:rPr>
                <w:sz w:val="18"/>
                <w:szCs w:val="18"/>
              </w:rPr>
              <w:t xml:space="preserve">Changes on </w:t>
            </w:r>
            <w:r w:rsidR="00886630">
              <w:rPr>
                <w:sz w:val="18"/>
                <w:szCs w:val="18"/>
              </w:rPr>
              <w:t>page 151-152</w:t>
            </w:r>
          </w:p>
          <w:p w14:paraId="2A62D633" w14:textId="77777777" w:rsidR="003828C4" w:rsidRDefault="003828C4" w:rsidP="00F04D52">
            <w:pPr>
              <w:rPr>
                <w:sz w:val="18"/>
                <w:szCs w:val="18"/>
              </w:rPr>
            </w:pPr>
          </w:p>
          <w:p w14:paraId="493181BD" w14:textId="2B95AF5A" w:rsidR="00F04D52" w:rsidRDefault="00AB5151" w:rsidP="00F04D52">
            <w:pPr>
              <w:rPr>
                <w:sz w:val="18"/>
                <w:szCs w:val="18"/>
              </w:rPr>
            </w:pPr>
            <w:r>
              <w:rPr>
                <w:sz w:val="18"/>
                <w:szCs w:val="18"/>
              </w:rPr>
              <w:t>LLAFS</w:t>
            </w:r>
            <w:r w:rsidR="00F04D52">
              <w:rPr>
                <w:sz w:val="18"/>
                <w:szCs w:val="18"/>
              </w:rPr>
              <w:t xml:space="preserve">: </w:t>
            </w:r>
          </w:p>
          <w:p w14:paraId="6312B3C3" w14:textId="55890EBF" w:rsidR="003828C4" w:rsidRDefault="00F04D52" w:rsidP="00F04D52">
            <w:pPr>
              <w:pStyle w:val="ListParagraph"/>
              <w:numPr>
                <w:ilvl w:val="0"/>
                <w:numId w:val="6"/>
              </w:numPr>
              <w:rPr>
                <w:sz w:val="18"/>
                <w:szCs w:val="18"/>
              </w:rPr>
            </w:pPr>
            <w:r>
              <w:rPr>
                <w:sz w:val="18"/>
                <w:szCs w:val="18"/>
              </w:rPr>
              <w:t>Section 2.5.1.3</w:t>
            </w:r>
            <w:r w:rsidR="00AB5151">
              <w:rPr>
                <w:sz w:val="18"/>
                <w:szCs w:val="18"/>
              </w:rPr>
              <w:t xml:space="preserve">: </w:t>
            </w:r>
            <w:r w:rsidR="003828C4">
              <w:rPr>
                <w:sz w:val="18"/>
                <w:szCs w:val="18"/>
              </w:rPr>
              <w:t xml:space="preserve">Changes on </w:t>
            </w:r>
            <w:r w:rsidR="00AB5151">
              <w:rPr>
                <w:sz w:val="18"/>
                <w:szCs w:val="18"/>
              </w:rPr>
              <w:t>page 1</w:t>
            </w:r>
            <w:r w:rsidR="00886630">
              <w:rPr>
                <w:sz w:val="18"/>
                <w:szCs w:val="18"/>
              </w:rPr>
              <w:t>71</w:t>
            </w:r>
          </w:p>
          <w:p w14:paraId="1C731440" w14:textId="6D13DE76" w:rsidR="00F04D52" w:rsidRPr="00514A00" w:rsidRDefault="00F04D52" w:rsidP="003828C4">
            <w:pPr>
              <w:pStyle w:val="ListParagraph"/>
              <w:numPr>
                <w:ilvl w:val="0"/>
                <w:numId w:val="6"/>
              </w:numPr>
              <w:rPr>
                <w:sz w:val="18"/>
                <w:szCs w:val="18"/>
              </w:rPr>
            </w:pPr>
            <w:r>
              <w:rPr>
                <w:sz w:val="18"/>
                <w:szCs w:val="18"/>
              </w:rPr>
              <w:t xml:space="preserve">Section 2.5.1.6: </w:t>
            </w:r>
            <w:r w:rsidR="003828C4">
              <w:rPr>
                <w:sz w:val="18"/>
                <w:szCs w:val="18"/>
              </w:rPr>
              <w:t xml:space="preserve">Changes on </w:t>
            </w:r>
            <w:r w:rsidR="00886630">
              <w:rPr>
                <w:sz w:val="18"/>
                <w:szCs w:val="18"/>
              </w:rPr>
              <w:t>page 178</w:t>
            </w:r>
          </w:p>
        </w:tc>
      </w:tr>
      <w:tr w:rsidR="00F04D52" w:rsidRPr="00514A00" w14:paraId="63280A6A" w14:textId="77777777" w:rsidTr="000674F5">
        <w:tc>
          <w:tcPr>
            <w:tcW w:w="1065" w:type="pct"/>
            <w:gridSpan w:val="3"/>
            <w:shd w:val="clear" w:color="auto" w:fill="1F4E79" w:themeFill="accent1" w:themeFillShade="80"/>
          </w:tcPr>
          <w:p w14:paraId="3A2FB631" w14:textId="451E860E" w:rsidR="00F04D52" w:rsidRPr="00514A00" w:rsidRDefault="00F04D52" w:rsidP="00F04D52">
            <w:pPr>
              <w:rPr>
                <w:b/>
                <w:color w:val="FFFFFF" w:themeColor="background1"/>
                <w:sz w:val="18"/>
                <w:szCs w:val="18"/>
              </w:rPr>
            </w:pPr>
            <w:r w:rsidRPr="00514A00">
              <w:rPr>
                <w:b/>
                <w:color w:val="FFFFFF" w:themeColor="background1"/>
                <w:sz w:val="18"/>
                <w:szCs w:val="18"/>
              </w:rPr>
              <w:lastRenderedPageBreak/>
              <w:t>ISPC Comments</w:t>
            </w:r>
          </w:p>
        </w:tc>
        <w:tc>
          <w:tcPr>
            <w:tcW w:w="2933" w:type="pct"/>
            <w:shd w:val="clear" w:color="auto" w:fill="1F4E79" w:themeFill="accent1" w:themeFillShade="80"/>
          </w:tcPr>
          <w:p w14:paraId="536D4633" w14:textId="77777777" w:rsidR="00F04D52" w:rsidRPr="00514A00" w:rsidRDefault="00F04D52" w:rsidP="00F04D52">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222AE88C" w14:textId="034DF4B6" w:rsidR="00F04D52" w:rsidRPr="00514A00" w:rsidRDefault="00F04D52" w:rsidP="00F04D52">
            <w:pPr>
              <w:rPr>
                <w:b/>
                <w:color w:val="FFFFFF" w:themeColor="background1"/>
                <w:sz w:val="18"/>
                <w:szCs w:val="18"/>
              </w:rPr>
            </w:pPr>
            <w:r w:rsidRPr="00514A00">
              <w:rPr>
                <w:b/>
                <w:color w:val="FFFFFF" w:themeColor="background1"/>
                <w:sz w:val="18"/>
                <w:szCs w:val="18"/>
              </w:rPr>
              <w:t>Modifications to narrative</w:t>
            </w:r>
          </w:p>
        </w:tc>
      </w:tr>
      <w:tr w:rsidR="00041706" w:rsidRPr="00514A00" w14:paraId="309C694A" w14:textId="77777777" w:rsidTr="000674F5">
        <w:tc>
          <w:tcPr>
            <w:tcW w:w="1065" w:type="pct"/>
            <w:gridSpan w:val="3"/>
          </w:tcPr>
          <w:p w14:paraId="697B1373" w14:textId="77777777" w:rsidR="00041706" w:rsidRPr="00514A00" w:rsidRDefault="00041706" w:rsidP="00041706">
            <w:pPr>
              <w:pStyle w:val="ListParagraph"/>
              <w:numPr>
                <w:ilvl w:val="0"/>
                <w:numId w:val="14"/>
              </w:numPr>
              <w:rPr>
                <w:b/>
                <w:sz w:val="18"/>
                <w:szCs w:val="18"/>
              </w:rPr>
            </w:pPr>
            <w:r w:rsidRPr="00514A00">
              <w:rPr>
                <w:b/>
                <w:sz w:val="18"/>
                <w:szCs w:val="18"/>
              </w:rPr>
              <w:t xml:space="preserve">Even though the targets are overly optimistic for many CRPs, Livestock is an outlier in that some of the targets proposed (number of people likely to be lifted out of poverty, rate of yield increase) do not appear credible. </w:t>
            </w:r>
            <w:r w:rsidRPr="00514A00">
              <w:rPr>
                <w:b/>
                <w:sz w:val="18"/>
                <w:szCs w:val="18"/>
                <w:u w:val="single"/>
              </w:rPr>
              <w:t xml:space="preserve">These targets should be revisited or </w:t>
            </w:r>
            <w:r w:rsidRPr="00514A00">
              <w:rPr>
                <w:b/>
                <w:sz w:val="18"/>
                <w:szCs w:val="18"/>
                <w:u w:val="single"/>
              </w:rPr>
              <w:lastRenderedPageBreak/>
              <w:t>additional justification, grounded in empirical evidence</w:t>
            </w:r>
            <w:r w:rsidRPr="00514A00">
              <w:rPr>
                <w:b/>
                <w:sz w:val="18"/>
                <w:szCs w:val="18"/>
              </w:rPr>
              <w:t>, provided for the numbers quoted.</w:t>
            </w:r>
            <w:r w:rsidRPr="00514A00">
              <w:rPr>
                <w:sz w:val="18"/>
                <w:szCs w:val="18"/>
              </w:rPr>
              <w:t xml:space="preserve"> </w:t>
            </w:r>
          </w:p>
          <w:p w14:paraId="27123446" w14:textId="77777777" w:rsidR="00041706" w:rsidRPr="00514A00" w:rsidRDefault="00041706" w:rsidP="00041706">
            <w:pPr>
              <w:rPr>
                <w:sz w:val="18"/>
                <w:szCs w:val="18"/>
              </w:rPr>
            </w:pPr>
          </w:p>
          <w:p w14:paraId="12247042" w14:textId="31A62395" w:rsidR="00041706" w:rsidRPr="00514A00" w:rsidRDefault="00041706" w:rsidP="00041706">
            <w:pPr>
              <w:rPr>
                <w:b/>
                <w:sz w:val="18"/>
                <w:szCs w:val="18"/>
              </w:rPr>
            </w:pPr>
            <w:r w:rsidRPr="00514A00">
              <w:rPr>
                <w:sz w:val="18"/>
                <w:szCs w:val="18"/>
              </w:rPr>
              <w:t xml:space="preserve">In the light of such data, the proposed </w:t>
            </w:r>
            <w:r w:rsidRPr="00514A00">
              <w:rPr>
                <w:b/>
                <w:sz w:val="18"/>
                <w:szCs w:val="18"/>
              </w:rPr>
              <w:t>poverty</w:t>
            </w:r>
            <w:r w:rsidRPr="00514A00">
              <w:rPr>
                <w:sz w:val="18"/>
                <w:szCs w:val="18"/>
              </w:rPr>
              <w:t xml:space="preserve"> related target appears unrealistic, and this issue should be addressed in the addendum.</w:t>
            </w:r>
          </w:p>
        </w:tc>
        <w:tc>
          <w:tcPr>
            <w:tcW w:w="2933" w:type="pct"/>
          </w:tcPr>
          <w:p w14:paraId="5F0CC189" w14:textId="1D8B61C9" w:rsidR="00041706" w:rsidRPr="001E7429" w:rsidRDefault="00F06ADD" w:rsidP="00041706">
            <w:pPr>
              <w:rPr>
                <w:sz w:val="18"/>
                <w:szCs w:val="18"/>
              </w:rPr>
            </w:pPr>
            <w:r>
              <w:rPr>
                <w:sz w:val="18"/>
                <w:szCs w:val="18"/>
              </w:rPr>
              <w:lastRenderedPageBreak/>
              <w:t xml:space="preserve">The CRP </w:t>
            </w:r>
            <w:r w:rsidR="00041706" w:rsidRPr="001E7429">
              <w:rPr>
                <w:sz w:val="18"/>
                <w:szCs w:val="18"/>
              </w:rPr>
              <w:t>recognise</w:t>
            </w:r>
            <w:r>
              <w:rPr>
                <w:sz w:val="18"/>
                <w:szCs w:val="18"/>
              </w:rPr>
              <w:t>s</w:t>
            </w:r>
            <w:r w:rsidR="00041706" w:rsidRPr="001E7429">
              <w:rPr>
                <w:sz w:val="18"/>
                <w:szCs w:val="18"/>
              </w:rPr>
              <w:t xml:space="preserve"> that </w:t>
            </w:r>
            <w:r>
              <w:rPr>
                <w:sz w:val="18"/>
                <w:szCs w:val="18"/>
              </w:rPr>
              <w:t>its</w:t>
            </w:r>
            <w:r w:rsidR="00041706" w:rsidRPr="001E7429">
              <w:rPr>
                <w:sz w:val="18"/>
                <w:szCs w:val="18"/>
              </w:rPr>
              <w:t xml:space="preserve"> original target for SLO 1.2 was very high as it was interpreted</w:t>
            </w:r>
            <w:r w:rsidR="00041706">
              <w:rPr>
                <w:sz w:val="18"/>
                <w:szCs w:val="18"/>
              </w:rPr>
              <w:t xml:space="preserve"> as</w:t>
            </w:r>
            <w:r w:rsidR="00041706" w:rsidRPr="001E7429">
              <w:rPr>
                <w:sz w:val="18"/>
                <w:szCs w:val="18"/>
              </w:rPr>
              <w:t xml:space="preserve"> </w:t>
            </w:r>
            <w:r w:rsidR="00041706" w:rsidRPr="001E7429">
              <w:rPr>
                <w:sz w:val="18"/>
                <w:szCs w:val="18"/>
                <w:u w:val="single"/>
              </w:rPr>
              <w:t xml:space="preserve">all </w:t>
            </w:r>
            <w:r w:rsidR="00041706" w:rsidRPr="001E7429">
              <w:rPr>
                <w:sz w:val="18"/>
                <w:szCs w:val="18"/>
              </w:rPr>
              <w:t>income increases on-farm to be people “assisted to exit pover</w:t>
            </w:r>
            <w:r w:rsidR="00041706">
              <w:rPr>
                <w:sz w:val="18"/>
                <w:szCs w:val="18"/>
              </w:rPr>
              <w:t>ty”. The methodology annex (3.10</w:t>
            </w:r>
            <w:r w:rsidR="00041706" w:rsidRPr="001E7429">
              <w:rPr>
                <w:sz w:val="18"/>
                <w:szCs w:val="18"/>
              </w:rPr>
              <w:t>.3) now explains, with references, the conversion of increase in income, by species, to estimated numbers of people actually exiting poverty.</w:t>
            </w:r>
            <w:r w:rsidR="00041706">
              <w:rPr>
                <w:sz w:val="18"/>
                <w:szCs w:val="18"/>
              </w:rPr>
              <w:t xml:space="preserve"> </w:t>
            </w:r>
            <w:r>
              <w:rPr>
                <w:sz w:val="18"/>
                <w:szCs w:val="18"/>
              </w:rPr>
              <w:t>T</w:t>
            </w:r>
            <w:r w:rsidR="00041706">
              <w:rPr>
                <w:sz w:val="18"/>
                <w:szCs w:val="18"/>
              </w:rPr>
              <w:t>argets at the sub-IDO level which contribute to SLO 1.2 remain unchanged.</w:t>
            </w:r>
          </w:p>
          <w:p w14:paraId="07699EE8" w14:textId="77777777" w:rsidR="00041706" w:rsidRPr="001E7429" w:rsidRDefault="00041706" w:rsidP="00041706">
            <w:pPr>
              <w:rPr>
                <w:sz w:val="18"/>
                <w:szCs w:val="18"/>
              </w:rPr>
            </w:pPr>
          </w:p>
          <w:p w14:paraId="2D0DD610" w14:textId="1F723735" w:rsidR="00041706" w:rsidRDefault="00041706" w:rsidP="00041706">
            <w:pPr>
              <w:rPr>
                <w:color w:val="000000" w:themeColor="text1"/>
                <w:sz w:val="18"/>
                <w:szCs w:val="18"/>
              </w:rPr>
            </w:pPr>
            <w:r w:rsidRPr="001E7429">
              <w:rPr>
                <w:sz w:val="18"/>
                <w:szCs w:val="18"/>
              </w:rPr>
              <w:t>The yield change targets presented at SLO level in PIM Table A are an aggregation of targets across the 3 technology flagships and multiple species</w:t>
            </w:r>
            <w:r w:rsidR="00F06ADD">
              <w:rPr>
                <w:sz w:val="18"/>
                <w:szCs w:val="18"/>
              </w:rPr>
              <w:t>. Note that</w:t>
            </w:r>
            <w:r w:rsidRPr="001E7429">
              <w:rPr>
                <w:sz w:val="18"/>
                <w:szCs w:val="18"/>
              </w:rPr>
              <w:t xml:space="preserve"> the tabl</w:t>
            </w:r>
            <w:r>
              <w:rPr>
                <w:sz w:val="18"/>
                <w:szCs w:val="18"/>
              </w:rPr>
              <w:t>e in the methodology annex (3.10</w:t>
            </w:r>
            <w:r w:rsidR="00F06ADD">
              <w:rPr>
                <w:sz w:val="18"/>
                <w:szCs w:val="18"/>
              </w:rPr>
              <w:t>.3) defines</w:t>
            </w:r>
            <w:r w:rsidRPr="001E7429">
              <w:rPr>
                <w:sz w:val="18"/>
                <w:szCs w:val="18"/>
              </w:rPr>
              <w:t xml:space="preserve"> the breakdown. </w:t>
            </w:r>
            <w:r>
              <w:rPr>
                <w:sz w:val="18"/>
                <w:szCs w:val="18"/>
              </w:rPr>
              <w:t>T</w:t>
            </w:r>
            <w:r w:rsidRPr="001E7429">
              <w:rPr>
                <w:sz w:val="18"/>
                <w:szCs w:val="18"/>
              </w:rPr>
              <w:t xml:space="preserve">he average increases </w:t>
            </w:r>
            <w:r w:rsidR="00F06ADD">
              <w:rPr>
                <w:sz w:val="18"/>
                <w:szCs w:val="18"/>
              </w:rPr>
              <w:t>proposed</w:t>
            </w:r>
            <w:r w:rsidRPr="001E7429">
              <w:rPr>
                <w:sz w:val="18"/>
                <w:szCs w:val="18"/>
              </w:rPr>
              <w:t xml:space="preserve"> are larger than </w:t>
            </w:r>
            <w:r w:rsidR="00CB6393">
              <w:rPr>
                <w:sz w:val="18"/>
                <w:szCs w:val="18"/>
              </w:rPr>
              <w:t xml:space="preserve">for </w:t>
            </w:r>
            <w:r w:rsidRPr="001E7429">
              <w:rPr>
                <w:sz w:val="18"/>
                <w:szCs w:val="18"/>
              </w:rPr>
              <w:t>crop commodity CRPs</w:t>
            </w:r>
            <w:r>
              <w:rPr>
                <w:sz w:val="18"/>
                <w:szCs w:val="18"/>
              </w:rPr>
              <w:t xml:space="preserve"> because</w:t>
            </w:r>
            <w:r w:rsidR="000674F5">
              <w:rPr>
                <w:sz w:val="18"/>
                <w:szCs w:val="18"/>
              </w:rPr>
              <w:t>, in the short term at least,</w:t>
            </w:r>
            <w:r>
              <w:rPr>
                <w:sz w:val="18"/>
                <w:szCs w:val="18"/>
              </w:rPr>
              <w:t xml:space="preserve"> </w:t>
            </w:r>
            <w:r w:rsidRPr="00E2717D">
              <w:rPr>
                <w:color w:val="000000" w:themeColor="text1"/>
                <w:sz w:val="18"/>
                <w:szCs w:val="18"/>
              </w:rPr>
              <w:t>the</w:t>
            </w:r>
            <w:r w:rsidR="000674F5">
              <w:rPr>
                <w:color w:val="000000" w:themeColor="text1"/>
                <w:sz w:val="18"/>
                <w:szCs w:val="18"/>
              </w:rPr>
              <w:t>re are greater</w:t>
            </w:r>
            <w:r w:rsidRPr="00E2717D">
              <w:rPr>
                <w:color w:val="000000" w:themeColor="text1"/>
                <w:sz w:val="18"/>
                <w:szCs w:val="18"/>
              </w:rPr>
              <w:t xml:space="preserve"> potential gains in livestock productivity </w:t>
            </w:r>
            <w:r w:rsidRPr="00F06ADD">
              <w:rPr>
                <w:color w:val="000000" w:themeColor="text1"/>
                <w:sz w:val="18"/>
                <w:szCs w:val="18"/>
              </w:rPr>
              <w:t xml:space="preserve">through </w:t>
            </w:r>
            <w:r w:rsidR="007C7844" w:rsidRPr="00F06ADD">
              <w:rPr>
                <w:color w:val="000000" w:themeColor="text1"/>
                <w:sz w:val="18"/>
                <w:szCs w:val="18"/>
              </w:rPr>
              <w:t xml:space="preserve">combining </w:t>
            </w:r>
            <w:r w:rsidRPr="00F06ADD">
              <w:rPr>
                <w:color w:val="000000" w:themeColor="text1"/>
                <w:sz w:val="18"/>
                <w:szCs w:val="18"/>
              </w:rPr>
              <w:t xml:space="preserve">genetics, feeding </w:t>
            </w:r>
            <w:r w:rsidRPr="00F06ADD">
              <w:rPr>
                <w:color w:val="000000" w:themeColor="text1"/>
                <w:sz w:val="18"/>
                <w:szCs w:val="18"/>
              </w:rPr>
              <w:lastRenderedPageBreak/>
              <w:t xml:space="preserve">and health </w:t>
            </w:r>
            <w:r w:rsidR="007C7844" w:rsidRPr="00F06ADD">
              <w:rPr>
                <w:color w:val="000000" w:themeColor="text1"/>
                <w:sz w:val="18"/>
                <w:szCs w:val="18"/>
              </w:rPr>
              <w:t xml:space="preserve">solutions </w:t>
            </w:r>
            <w:r w:rsidRPr="00F06ADD">
              <w:rPr>
                <w:color w:val="000000" w:themeColor="text1"/>
                <w:sz w:val="18"/>
                <w:szCs w:val="18"/>
              </w:rPr>
              <w:t xml:space="preserve">than for </w:t>
            </w:r>
            <w:r w:rsidRPr="000674F5">
              <w:rPr>
                <w:color w:val="000000" w:themeColor="text1"/>
                <w:sz w:val="18"/>
                <w:szCs w:val="18"/>
              </w:rPr>
              <w:t>crop</w:t>
            </w:r>
            <w:r w:rsidR="000674F5" w:rsidRPr="000674F5">
              <w:rPr>
                <w:color w:val="000000" w:themeColor="text1"/>
                <w:sz w:val="18"/>
                <w:szCs w:val="18"/>
              </w:rPr>
              <w:t xml:space="preserve"> genetics (which went through a cycle of high returns in the early days of the Green Revolution). </w:t>
            </w:r>
            <w:r w:rsidR="002A2E11" w:rsidRPr="000674F5">
              <w:rPr>
                <w:color w:val="000000" w:themeColor="text1"/>
                <w:sz w:val="18"/>
                <w:szCs w:val="18"/>
              </w:rPr>
              <w:t>Feed and forage breeding research are at an early stage</w:t>
            </w:r>
            <w:r w:rsidR="009378E6" w:rsidRPr="000674F5">
              <w:rPr>
                <w:color w:val="000000" w:themeColor="text1"/>
                <w:sz w:val="18"/>
                <w:szCs w:val="18"/>
              </w:rPr>
              <w:t xml:space="preserve">, similar to the Green Revolution for crops, in which significant increases in yield potential and closing the yield gap can be achieved before the diminishing returns currently facing staple crop breeding are reached. </w:t>
            </w:r>
            <w:r w:rsidR="0040433C" w:rsidRPr="000674F5">
              <w:rPr>
                <w:color w:val="000000" w:themeColor="text1"/>
                <w:sz w:val="18"/>
                <w:szCs w:val="18"/>
              </w:rPr>
              <w:t xml:space="preserve">Both livestock genetics and health technologies offer stepwise increases in productivity beyond </w:t>
            </w:r>
            <w:r w:rsidR="000674F5" w:rsidRPr="000674F5">
              <w:rPr>
                <w:color w:val="000000" w:themeColor="text1"/>
                <w:sz w:val="18"/>
                <w:szCs w:val="18"/>
              </w:rPr>
              <w:t xml:space="preserve">the small incremental gains </w:t>
            </w:r>
            <w:r w:rsidR="0040433C" w:rsidRPr="000674F5">
              <w:rPr>
                <w:color w:val="000000" w:themeColor="text1"/>
                <w:sz w:val="18"/>
                <w:szCs w:val="18"/>
              </w:rPr>
              <w:t>generally found in the staple crop and NRM-type</w:t>
            </w:r>
            <w:r w:rsidR="000674F5" w:rsidRPr="000674F5">
              <w:rPr>
                <w:color w:val="000000" w:themeColor="text1"/>
                <w:sz w:val="18"/>
                <w:szCs w:val="18"/>
              </w:rPr>
              <w:t xml:space="preserve"> research</w:t>
            </w:r>
            <w:r w:rsidR="0040433C" w:rsidRPr="000674F5">
              <w:rPr>
                <w:color w:val="000000" w:themeColor="text1"/>
                <w:sz w:val="18"/>
                <w:szCs w:val="18"/>
              </w:rPr>
              <w:t>.</w:t>
            </w:r>
            <w:r w:rsidR="009378E6" w:rsidRPr="000674F5">
              <w:rPr>
                <w:color w:val="000000" w:themeColor="text1"/>
                <w:sz w:val="18"/>
                <w:szCs w:val="18"/>
              </w:rPr>
              <w:t xml:space="preserve"> </w:t>
            </w:r>
            <w:r w:rsidR="002A2E11" w:rsidRPr="000674F5">
              <w:rPr>
                <w:color w:val="000000" w:themeColor="text1"/>
                <w:sz w:val="18"/>
                <w:szCs w:val="18"/>
              </w:rPr>
              <w:t xml:space="preserve">  </w:t>
            </w:r>
            <w:r w:rsidR="007544FB" w:rsidRPr="000674F5">
              <w:rPr>
                <w:color w:val="000000" w:themeColor="text1"/>
                <w:sz w:val="18"/>
                <w:szCs w:val="18"/>
              </w:rPr>
              <w:t xml:space="preserve"> </w:t>
            </w:r>
            <w:r w:rsidR="007C7844" w:rsidRPr="000674F5">
              <w:rPr>
                <w:color w:val="000000" w:themeColor="text1"/>
                <w:sz w:val="18"/>
                <w:szCs w:val="18"/>
              </w:rPr>
              <w:t>Changes have been made to t</w:t>
            </w:r>
            <w:r w:rsidRPr="000674F5">
              <w:rPr>
                <w:color w:val="000000" w:themeColor="text1"/>
                <w:sz w:val="18"/>
                <w:szCs w:val="18"/>
              </w:rPr>
              <w:t>he genetic target ranges and standardisation of feed</w:t>
            </w:r>
            <w:r w:rsidR="00CB6393" w:rsidRPr="000674F5">
              <w:rPr>
                <w:color w:val="000000" w:themeColor="text1"/>
                <w:sz w:val="18"/>
                <w:szCs w:val="18"/>
              </w:rPr>
              <w:t>s and</w:t>
            </w:r>
            <w:r w:rsidRPr="000674F5">
              <w:rPr>
                <w:color w:val="000000" w:themeColor="text1"/>
                <w:sz w:val="18"/>
                <w:szCs w:val="18"/>
              </w:rPr>
              <w:t xml:space="preserve"> forages.</w:t>
            </w:r>
            <w:r w:rsidRPr="00E2717D">
              <w:rPr>
                <w:color w:val="000000" w:themeColor="text1"/>
                <w:sz w:val="18"/>
                <w:szCs w:val="18"/>
              </w:rPr>
              <w:t xml:space="preserve"> </w:t>
            </w:r>
          </w:p>
          <w:p w14:paraId="7091E79E" w14:textId="77777777" w:rsidR="00041706" w:rsidRDefault="00041706" w:rsidP="00041706">
            <w:pPr>
              <w:rPr>
                <w:color w:val="000000" w:themeColor="text1"/>
                <w:sz w:val="18"/>
                <w:szCs w:val="18"/>
              </w:rPr>
            </w:pPr>
          </w:p>
          <w:p w14:paraId="7E1C4B1A" w14:textId="0766E761" w:rsidR="00041706" w:rsidRDefault="00F06ADD" w:rsidP="00041706">
            <w:pPr>
              <w:rPr>
                <w:sz w:val="18"/>
                <w:szCs w:val="18"/>
              </w:rPr>
            </w:pPr>
            <w:r>
              <w:rPr>
                <w:color w:val="000000" w:themeColor="text1"/>
                <w:sz w:val="18"/>
                <w:szCs w:val="18"/>
              </w:rPr>
              <w:t>A</w:t>
            </w:r>
            <w:r w:rsidR="00041706" w:rsidRPr="00E2717D">
              <w:rPr>
                <w:color w:val="000000" w:themeColor="text1"/>
                <w:sz w:val="18"/>
                <w:szCs w:val="18"/>
              </w:rPr>
              <w:t>dditional justification with evidence</w:t>
            </w:r>
            <w:r>
              <w:rPr>
                <w:color w:val="000000" w:themeColor="text1"/>
                <w:sz w:val="18"/>
                <w:szCs w:val="18"/>
              </w:rPr>
              <w:t xml:space="preserve"> has been included</w:t>
            </w:r>
            <w:r w:rsidR="00041706" w:rsidRPr="00E2717D">
              <w:rPr>
                <w:color w:val="000000" w:themeColor="text1"/>
                <w:sz w:val="18"/>
                <w:szCs w:val="18"/>
              </w:rPr>
              <w:t xml:space="preserve"> </w:t>
            </w:r>
            <w:r>
              <w:rPr>
                <w:color w:val="000000" w:themeColor="text1"/>
                <w:sz w:val="18"/>
                <w:szCs w:val="18"/>
              </w:rPr>
              <w:t>in</w:t>
            </w:r>
            <w:r w:rsidR="00041706" w:rsidRPr="00E2717D">
              <w:rPr>
                <w:color w:val="000000" w:themeColor="text1"/>
                <w:sz w:val="18"/>
                <w:szCs w:val="18"/>
              </w:rPr>
              <w:t xml:space="preserve"> the flagship responses to bullet 2 above and reference to these </w:t>
            </w:r>
            <w:r>
              <w:rPr>
                <w:color w:val="000000" w:themeColor="text1"/>
                <w:sz w:val="18"/>
                <w:szCs w:val="18"/>
              </w:rPr>
              <w:t xml:space="preserve">included </w:t>
            </w:r>
            <w:r w:rsidR="00041706" w:rsidRPr="00E2717D">
              <w:rPr>
                <w:color w:val="000000" w:themeColor="text1"/>
                <w:sz w:val="18"/>
                <w:szCs w:val="18"/>
              </w:rPr>
              <w:t>in the methodology</w:t>
            </w:r>
            <w:r>
              <w:rPr>
                <w:color w:val="000000" w:themeColor="text1"/>
                <w:sz w:val="18"/>
                <w:szCs w:val="18"/>
              </w:rPr>
              <w:t xml:space="preserve"> annex </w:t>
            </w:r>
            <w:r w:rsidR="00041706" w:rsidRPr="00E2717D">
              <w:rPr>
                <w:color w:val="000000" w:themeColor="text1"/>
                <w:sz w:val="18"/>
                <w:szCs w:val="18"/>
              </w:rPr>
              <w:t xml:space="preserve">and the </w:t>
            </w:r>
            <w:r w:rsidR="00041706" w:rsidRPr="001E7429">
              <w:rPr>
                <w:sz w:val="18"/>
                <w:szCs w:val="18"/>
              </w:rPr>
              <w:t xml:space="preserve">overall narrative. </w:t>
            </w:r>
          </w:p>
          <w:p w14:paraId="4FD3FAEE" w14:textId="77777777" w:rsidR="00041706" w:rsidRDefault="00041706" w:rsidP="00041706">
            <w:pPr>
              <w:rPr>
                <w:sz w:val="18"/>
                <w:szCs w:val="18"/>
              </w:rPr>
            </w:pPr>
          </w:p>
          <w:p w14:paraId="124E53AE" w14:textId="77777777" w:rsidR="00041706" w:rsidRDefault="00041706" w:rsidP="00041706">
            <w:pPr>
              <w:rPr>
                <w:sz w:val="18"/>
                <w:szCs w:val="18"/>
              </w:rPr>
            </w:pPr>
            <w:r w:rsidRPr="007967E6">
              <w:rPr>
                <w:sz w:val="18"/>
                <w:szCs w:val="18"/>
              </w:rPr>
              <w:t>The response to overall bullet 1 also provides more detailed information on how the CRP will focus on yield gap analysis, as the integration of genetics, health and feed &amp; forages, as a key strategic component of the CRP.</w:t>
            </w:r>
            <w:r w:rsidRPr="001E7429">
              <w:rPr>
                <w:sz w:val="18"/>
                <w:szCs w:val="18"/>
              </w:rPr>
              <w:t xml:space="preserve"> </w:t>
            </w:r>
          </w:p>
          <w:p w14:paraId="5BDFAE28" w14:textId="77777777" w:rsidR="00041706" w:rsidRDefault="00041706" w:rsidP="00041706">
            <w:pPr>
              <w:rPr>
                <w:sz w:val="18"/>
                <w:szCs w:val="18"/>
              </w:rPr>
            </w:pPr>
          </w:p>
          <w:p w14:paraId="5DB9A4A2" w14:textId="31EFBA5E" w:rsidR="00041706" w:rsidRPr="00514A00" w:rsidRDefault="00041706" w:rsidP="007544FB">
            <w:pPr>
              <w:rPr>
                <w:sz w:val="18"/>
                <w:szCs w:val="18"/>
              </w:rPr>
            </w:pPr>
            <w:r w:rsidRPr="001E7429">
              <w:rPr>
                <w:sz w:val="18"/>
                <w:szCs w:val="18"/>
              </w:rPr>
              <w:t xml:space="preserve">The aggregation across flagships and species for PIM Table A has been </w:t>
            </w:r>
            <w:r w:rsidR="007544FB">
              <w:rPr>
                <w:sz w:val="18"/>
                <w:szCs w:val="18"/>
              </w:rPr>
              <w:t>reduced</w:t>
            </w:r>
            <w:r w:rsidRPr="001E7429">
              <w:rPr>
                <w:sz w:val="18"/>
                <w:szCs w:val="18"/>
              </w:rPr>
              <w:t xml:space="preserve"> to provide a more realistic p</w:t>
            </w:r>
            <w:r>
              <w:rPr>
                <w:sz w:val="18"/>
                <w:szCs w:val="18"/>
              </w:rPr>
              <w:t>icture at this aggregated level</w:t>
            </w:r>
            <w:r w:rsidRPr="001E7429">
              <w:rPr>
                <w:sz w:val="18"/>
                <w:szCs w:val="18"/>
              </w:rPr>
              <w:t>.</w:t>
            </w:r>
          </w:p>
        </w:tc>
        <w:tc>
          <w:tcPr>
            <w:tcW w:w="1001" w:type="pct"/>
          </w:tcPr>
          <w:p w14:paraId="258A038D" w14:textId="4C059E67" w:rsidR="00041706" w:rsidRDefault="003828C4" w:rsidP="00041706">
            <w:pPr>
              <w:rPr>
                <w:sz w:val="18"/>
                <w:szCs w:val="18"/>
              </w:rPr>
            </w:pPr>
            <w:r>
              <w:rPr>
                <w:sz w:val="18"/>
                <w:szCs w:val="18"/>
              </w:rPr>
              <w:lastRenderedPageBreak/>
              <w:t>C</w:t>
            </w:r>
            <w:r w:rsidR="00041706" w:rsidRPr="00865B8C">
              <w:rPr>
                <w:sz w:val="18"/>
                <w:szCs w:val="18"/>
              </w:rPr>
              <w:t xml:space="preserve">larifications, explanations and changes </w:t>
            </w:r>
            <w:r w:rsidR="00865B8C" w:rsidRPr="00865B8C">
              <w:rPr>
                <w:sz w:val="18"/>
                <w:szCs w:val="18"/>
              </w:rPr>
              <w:t xml:space="preserve">have been made </w:t>
            </w:r>
            <w:r w:rsidR="00041706" w:rsidRPr="00865B8C">
              <w:rPr>
                <w:sz w:val="18"/>
                <w:szCs w:val="18"/>
              </w:rPr>
              <w:t>to section 1.0.2 and table 1.2 in</w:t>
            </w:r>
            <w:r w:rsidR="00DB4C33">
              <w:rPr>
                <w:sz w:val="18"/>
                <w:szCs w:val="18"/>
              </w:rPr>
              <w:t xml:space="preserve"> the overall narrative: pages 15-16</w:t>
            </w:r>
            <w:r w:rsidR="00041706" w:rsidRPr="00865B8C">
              <w:rPr>
                <w:sz w:val="18"/>
                <w:szCs w:val="18"/>
              </w:rPr>
              <w:t>.</w:t>
            </w:r>
          </w:p>
          <w:p w14:paraId="33B2D285" w14:textId="77777777" w:rsidR="00041706" w:rsidRDefault="00041706" w:rsidP="00041706">
            <w:pPr>
              <w:rPr>
                <w:sz w:val="18"/>
                <w:szCs w:val="18"/>
              </w:rPr>
            </w:pPr>
          </w:p>
          <w:p w14:paraId="35EDD1FD" w14:textId="1710E2C7" w:rsidR="00041706" w:rsidRPr="00514A00" w:rsidRDefault="00865B8C" w:rsidP="00041706">
            <w:pPr>
              <w:rPr>
                <w:sz w:val="18"/>
                <w:szCs w:val="18"/>
              </w:rPr>
            </w:pPr>
            <w:r>
              <w:rPr>
                <w:sz w:val="18"/>
                <w:szCs w:val="18"/>
              </w:rPr>
              <w:t>A</w:t>
            </w:r>
            <w:r w:rsidR="00041706" w:rsidRPr="00514A00">
              <w:rPr>
                <w:sz w:val="18"/>
                <w:szCs w:val="18"/>
              </w:rPr>
              <w:t>nnex 3.10.3</w:t>
            </w:r>
            <w:r>
              <w:rPr>
                <w:sz w:val="18"/>
                <w:szCs w:val="18"/>
              </w:rPr>
              <w:t xml:space="preserve"> explaining the methods used to calculate targets has been updated.</w:t>
            </w:r>
          </w:p>
          <w:p w14:paraId="7F9DA967" w14:textId="77777777" w:rsidR="00041706" w:rsidRPr="00514A00" w:rsidRDefault="00041706" w:rsidP="00041706">
            <w:pPr>
              <w:rPr>
                <w:sz w:val="18"/>
                <w:szCs w:val="18"/>
              </w:rPr>
            </w:pPr>
          </w:p>
          <w:p w14:paraId="4A99F8D1" w14:textId="206827DC" w:rsidR="00041706" w:rsidRPr="00514A00" w:rsidRDefault="00041706" w:rsidP="00041706">
            <w:pPr>
              <w:rPr>
                <w:sz w:val="18"/>
                <w:szCs w:val="18"/>
              </w:rPr>
            </w:pPr>
            <w:r w:rsidRPr="00514A00">
              <w:rPr>
                <w:sz w:val="18"/>
                <w:szCs w:val="18"/>
              </w:rPr>
              <w:lastRenderedPageBreak/>
              <w:t>PIM tables</w:t>
            </w:r>
            <w:r w:rsidR="00F06ADD">
              <w:rPr>
                <w:sz w:val="18"/>
                <w:szCs w:val="18"/>
              </w:rPr>
              <w:t xml:space="preserve"> have been updated</w:t>
            </w:r>
            <w:r w:rsidRPr="00514A00">
              <w:rPr>
                <w:sz w:val="18"/>
                <w:szCs w:val="18"/>
              </w:rPr>
              <w:t>:</w:t>
            </w:r>
          </w:p>
          <w:p w14:paraId="14392284" w14:textId="7DE1A636" w:rsidR="00041706" w:rsidRDefault="00041706" w:rsidP="00041706">
            <w:pPr>
              <w:rPr>
                <w:sz w:val="18"/>
                <w:szCs w:val="18"/>
              </w:rPr>
            </w:pPr>
            <w:r w:rsidRPr="00CB6393">
              <w:rPr>
                <w:sz w:val="18"/>
                <w:szCs w:val="18"/>
              </w:rPr>
              <w:t xml:space="preserve">Table A – </w:t>
            </w:r>
            <w:r w:rsidR="00F06ADD" w:rsidRPr="00CB6393">
              <w:rPr>
                <w:sz w:val="18"/>
                <w:szCs w:val="18"/>
              </w:rPr>
              <w:t xml:space="preserve"> </w:t>
            </w:r>
            <w:r w:rsidRPr="00CB6393">
              <w:rPr>
                <w:sz w:val="18"/>
                <w:szCs w:val="18"/>
              </w:rPr>
              <w:t>change</w:t>
            </w:r>
            <w:r w:rsidR="00F06ADD" w:rsidRPr="00CB6393">
              <w:rPr>
                <w:sz w:val="18"/>
                <w:szCs w:val="18"/>
              </w:rPr>
              <w:t>s</w:t>
            </w:r>
            <w:r w:rsidRPr="00CB6393">
              <w:rPr>
                <w:sz w:val="18"/>
                <w:szCs w:val="18"/>
              </w:rPr>
              <w:t xml:space="preserve"> </w:t>
            </w:r>
            <w:r w:rsidR="00CB6393" w:rsidRPr="00CB6393">
              <w:rPr>
                <w:sz w:val="18"/>
                <w:szCs w:val="18"/>
              </w:rPr>
              <w:t>have been made to the</w:t>
            </w:r>
            <w:r w:rsidR="00F06ADD" w:rsidRPr="00CB6393">
              <w:rPr>
                <w:sz w:val="18"/>
                <w:szCs w:val="18"/>
              </w:rPr>
              <w:t xml:space="preserve"> </w:t>
            </w:r>
            <w:r w:rsidRPr="00CB6393">
              <w:rPr>
                <w:sz w:val="18"/>
                <w:szCs w:val="18"/>
              </w:rPr>
              <w:t xml:space="preserve">poverty </w:t>
            </w:r>
            <w:r w:rsidR="00CB6393" w:rsidRPr="00CB6393">
              <w:rPr>
                <w:sz w:val="18"/>
                <w:szCs w:val="18"/>
              </w:rPr>
              <w:t>and yield change targets</w:t>
            </w:r>
          </w:p>
          <w:p w14:paraId="7BBCB5FB" w14:textId="77777777" w:rsidR="000674F5" w:rsidRPr="00CB6393" w:rsidRDefault="000674F5" w:rsidP="00041706">
            <w:pPr>
              <w:rPr>
                <w:sz w:val="18"/>
                <w:szCs w:val="18"/>
              </w:rPr>
            </w:pPr>
          </w:p>
          <w:p w14:paraId="6EEDCC96" w14:textId="3435EEFB" w:rsidR="00041706" w:rsidRPr="00514A00" w:rsidRDefault="00041706" w:rsidP="00041706">
            <w:pPr>
              <w:rPr>
                <w:sz w:val="18"/>
                <w:szCs w:val="18"/>
              </w:rPr>
            </w:pPr>
            <w:r w:rsidRPr="00CB6393">
              <w:rPr>
                <w:sz w:val="18"/>
                <w:szCs w:val="18"/>
              </w:rPr>
              <w:t>Table</w:t>
            </w:r>
            <w:r w:rsidR="00CB6393" w:rsidRPr="00CB6393">
              <w:rPr>
                <w:sz w:val="18"/>
                <w:szCs w:val="18"/>
              </w:rPr>
              <w:t>s</w:t>
            </w:r>
            <w:r w:rsidRPr="00CB6393">
              <w:rPr>
                <w:sz w:val="18"/>
                <w:szCs w:val="18"/>
              </w:rPr>
              <w:t xml:space="preserve"> B</w:t>
            </w:r>
            <w:r w:rsidR="00CB6393" w:rsidRPr="00CB6393">
              <w:rPr>
                <w:sz w:val="18"/>
                <w:szCs w:val="18"/>
              </w:rPr>
              <w:t xml:space="preserve"> to D</w:t>
            </w:r>
            <w:r w:rsidRPr="00CB6393">
              <w:rPr>
                <w:sz w:val="18"/>
                <w:szCs w:val="18"/>
              </w:rPr>
              <w:t xml:space="preserve"> – add</w:t>
            </w:r>
            <w:r w:rsidR="00F06ADD" w:rsidRPr="00CB6393">
              <w:rPr>
                <w:sz w:val="18"/>
                <w:szCs w:val="18"/>
              </w:rPr>
              <w:t>ed</w:t>
            </w:r>
            <w:r w:rsidRPr="00CB6393">
              <w:rPr>
                <w:sz w:val="18"/>
                <w:szCs w:val="18"/>
              </w:rPr>
              <w:t xml:space="preserve"> text on </w:t>
            </w:r>
            <w:r w:rsidR="00CB6393" w:rsidRPr="00CB6393">
              <w:rPr>
                <w:sz w:val="18"/>
                <w:szCs w:val="18"/>
              </w:rPr>
              <w:t xml:space="preserve">yield gain </w:t>
            </w:r>
            <w:r w:rsidRPr="00CB6393">
              <w:rPr>
                <w:sz w:val="18"/>
                <w:szCs w:val="18"/>
              </w:rPr>
              <w:t>ranges (for genetics) to sub-IDO indicator targets</w:t>
            </w:r>
          </w:p>
          <w:p w14:paraId="7160FB7A" w14:textId="55A119F1" w:rsidR="00041706" w:rsidRPr="00514A00" w:rsidRDefault="00041706" w:rsidP="00041706">
            <w:pPr>
              <w:rPr>
                <w:sz w:val="18"/>
                <w:szCs w:val="18"/>
              </w:rPr>
            </w:pPr>
          </w:p>
        </w:tc>
      </w:tr>
      <w:tr w:rsidR="00041706" w:rsidRPr="00514A00" w14:paraId="325FA77C" w14:textId="77777777" w:rsidTr="000674F5">
        <w:tc>
          <w:tcPr>
            <w:tcW w:w="1065" w:type="pct"/>
            <w:gridSpan w:val="3"/>
          </w:tcPr>
          <w:p w14:paraId="53CF1313" w14:textId="6E430291" w:rsidR="00041706" w:rsidRPr="00514A00" w:rsidRDefault="00041706" w:rsidP="00041706">
            <w:pPr>
              <w:rPr>
                <w:b/>
                <w:sz w:val="18"/>
                <w:szCs w:val="18"/>
              </w:rPr>
            </w:pPr>
            <w:r w:rsidRPr="00514A00">
              <w:rPr>
                <w:b/>
                <w:sz w:val="18"/>
                <w:szCs w:val="18"/>
              </w:rPr>
              <w:lastRenderedPageBreak/>
              <w:t xml:space="preserve">Livestock genetics: </w:t>
            </w:r>
            <w:r w:rsidRPr="00514A00">
              <w:rPr>
                <w:sz w:val="18"/>
                <w:szCs w:val="18"/>
              </w:rPr>
              <w:t>Further details of the expected timeline to impact would help to allay these concerns of the ISPC, and the issues raised should be addressed in the addendum on the genetic gain targets.</w:t>
            </w:r>
          </w:p>
        </w:tc>
        <w:tc>
          <w:tcPr>
            <w:tcW w:w="2933" w:type="pct"/>
          </w:tcPr>
          <w:p w14:paraId="21670E5E" w14:textId="42349729" w:rsidR="00041706" w:rsidRPr="00514A00" w:rsidRDefault="00041706" w:rsidP="00EF1C50">
            <w:pPr>
              <w:rPr>
                <w:sz w:val="18"/>
                <w:szCs w:val="18"/>
              </w:rPr>
            </w:pPr>
            <w:r>
              <w:rPr>
                <w:sz w:val="18"/>
                <w:szCs w:val="18"/>
              </w:rPr>
              <w:t>See response</w:t>
            </w:r>
            <w:r w:rsidR="00EF1C50">
              <w:rPr>
                <w:sz w:val="18"/>
                <w:szCs w:val="18"/>
              </w:rPr>
              <w:t>s</w:t>
            </w:r>
            <w:r>
              <w:rPr>
                <w:sz w:val="18"/>
                <w:szCs w:val="18"/>
              </w:rPr>
              <w:t xml:space="preserve"> above</w:t>
            </w:r>
            <w:r w:rsidR="00EF1C50">
              <w:rPr>
                <w:sz w:val="18"/>
                <w:szCs w:val="18"/>
              </w:rPr>
              <w:t>.</w:t>
            </w:r>
          </w:p>
        </w:tc>
        <w:tc>
          <w:tcPr>
            <w:tcW w:w="1001" w:type="pct"/>
          </w:tcPr>
          <w:p w14:paraId="2234B779" w14:textId="77777777" w:rsidR="00EF1C50" w:rsidRDefault="00EF1C50" w:rsidP="00EF1C50">
            <w:pPr>
              <w:rPr>
                <w:sz w:val="18"/>
                <w:szCs w:val="18"/>
              </w:rPr>
            </w:pPr>
            <w:r>
              <w:rPr>
                <w:sz w:val="18"/>
                <w:szCs w:val="18"/>
              </w:rPr>
              <w:t>The flagship narrative has been updated as follows:</w:t>
            </w:r>
          </w:p>
          <w:p w14:paraId="5B6F59F3" w14:textId="77777777" w:rsidR="00EF1C50" w:rsidRDefault="00EF1C50" w:rsidP="00041706">
            <w:pPr>
              <w:rPr>
                <w:sz w:val="18"/>
                <w:szCs w:val="18"/>
              </w:rPr>
            </w:pPr>
          </w:p>
          <w:p w14:paraId="099EF668" w14:textId="15F490EB" w:rsidR="00041706" w:rsidRPr="00514A00" w:rsidRDefault="00041706" w:rsidP="00886630">
            <w:pPr>
              <w:rPr>
                <w:sz w:val="18"/>
                <w:szCs w:val="18"/>
              </w:rPr>
            </w:pPr>
            <w:r w:rsidRPr="00F06ADD">
              <w:rPr>
                <w:sz w:val="18"/>
                <w:szCs w:val="18"/>
              </w:rPr>
              <w:t xml:space="preserve">Section 2.1.1.2: adjustments </w:t>
            </w:r>
            <w:r w:rsidR="003828C4">
              <w:rPr>
                <w:sz w:val="18"/>
                <w:szCs w:val="18"/>
              </w:rPr>
              <w:t xml:space="preserve">made </w:t>
            </w:r>
            <w:r w:rsidRPr="00F06ADD">
              <w:rPr>
                <w:sz w:val="18"/>
                <w:szCs w:val="18"/>
              </w:rPr>
              <w:t>to target ranges of values at species level</w:t>
            </w:r>
            <w:r w:rsidR="00DB4C33">
              <w:rPr>
                <w:sz w:val="18"/>
                <w:szCs w:val="18"/>
              </w:rPr>
              <w:t xml:space="preserve"> (Pages </w:t>
            </w:r>
            <w:r w:rsidR="00886630">
              <w:rPr>
                <w:sz w:val="18"/>
                <w:szCs w:val="18"/>
              </w:rPr>
              <w:t>60-61</w:t>
            </w:r>
            <w:r w:rsidR="00DB4C33">
              <w:rPr>
                <w:sz w:val="18"/>
                <w:szCs w:val="18"/>
              </w:rPr>
              <w:t>)</w:t>
            </w:r>
            <w:r w:rsidRPr="00F06ADD">
              <w:rPr>
                <w:sz w:val="18"/>
                <w:szCs w:val="18"/>
              </w:rPr>
              <w:t>.</w:t>
            </w:r>
          </w:p>
        </w:tc>
      </w:tr>
      <w:tr w:rsidR="00041706" w:rsidRPr="00514A00" w14:paraId="3D983E28" w14:textId="77777777" w:rsidTr="000674F5">
        <w:tc>
          <w:tcPr>
            <w:tcW w:w="1065" w:type="pct"/>
            <w:gridSpan w:val="3"/>
          </w:tcPr>
          <w:p w14:paraId="1AA90043" w14:textId="7C6D3C27" w:rsidR="00041706" w:rsidRPr="00514A00" w:rsidRDefault="00041706" w:rsidP="00041706">
            <w:pPr>
              <w:rPr>
                <w:b/>
                <w:sz w:val="18"/>
                <w:szCs w:val="18"/>
              </w:rPr>
            </w:pPr>
            <w:r w:rsidRPr="00514A00">
              <w:rPr>
                <w:b/>
                <w:sz w:val="18"/>
                <w:szCs w:val="18"/>
              </w:rPr>
              <w:t xml:space="preserve">Livestock health: </w:t>
            </w:r>
            <w:r w:rsidRPr="00514A00">
              <w:rPr>
                <w:sz w:val="18"/>
                <w:szCs w:val="18"/>
              </w:rPr>
              <w:t>It is not evident, however, how or to what extent outcomes/impacts can be expected in a six-year timeframe, and these comments should be addressed in the addendum.</w:t>
            </w:r>
          </w:p>
        </w:tc>
        <w:tc>
          <w:tcPr>
            <w:tcW w:w="2933" w:type="pct"/>
          </w:tcPr>
          <w:p w14:paraId="09B00819" w14:textId="54CD7819" w:rsidR="00041706" w:rsidRPr="0022416E" w:rsidRDefault="003828C4" w:rsidP="00041706">
            <w:pPr>
              <w:widowControl w:val="0"/>
              <w:autoSpaceDE w:val="0"/>
              <w:autoSpaceDN w:val="0"/>
              <w:adjustRightInd w:val="0"/>
              <w:spacing w:after="240"/>
              <w:jc w:val="both"/>
              <w:rPr>
                <w:rFonts w:cs="Times"/>
                <w:bCs/>
                <w:sz w:val="18"/>
                <w:szCs w:val="18"/>
                <w:lang w:val="en-US"/>
              </w:rPr>
            </w:pPr>
            <w:r>
              <w:rPr>
                <w:rFonts w:cs="Times"/>
                <w:bCs/>
                <w:sz w:val="18"/>
                <w:szCs w:val="18"/>
                <w:lang w:val="en-US"/>
              </w:rPr>
              <w:t>The Flagship’s</w:t>
            </w:r>
            <w:r w:rsidR="00041706" w:rsidRPr="00786CA2">
              <w:rPr>
                <w:rFonts w:cs="Times"/>
                <w:bCs/>
                <w:sz w:val="18"/>
                <w:szCs w:val="18"/>
                <w:lang w:val="en-US"/>
              </w:rPr>
              <w:t xml:space="preserve"> timeline to impact and</w:t>
            </w:r>
            <w:r>
              <w:rPr>
                <w:rFonts w:cs="Times"/>
                <w:bCs/>
                <w:sz w:val="18"/>
                <w:szCs w:val="18"/>
                <w:lang w:val="en-US"/>
              </w:rPr>
              <w:t xml:space="preserve"> its</w:t>
            </w:r>
            <w:r w:rsidR="00041706" w:rsidRPr="00786CA2">
              <w:rPr>
                <w:rFonts w:cs="Times"/>
                <w:bCs/>
                <w:sz w:val="18"/>
                <w:szCs w:val="18"/>
                <w:lang w:val="en-US"/>
              </w:rPr>
              <w:t xml:space="preserve"> targets look ambitious but are realistic considering the following: (i) </w:t>
            </w:r>
            <w:r>
              <w:rPr>
                <w:rFonts w:cs="Times"/>
                <w:bCs/>
                <w:sz w:val="18"/>
                <w:szCs w:val="18"/>
                <w:lang w:val="en-US"/>
              </w:rPr>
              <w:t xml:space="preserve"> the CRP uses</w:t>
            </w:r>
            <w:r w:rsidR="00041706" w:rsidRPr="00786CA2">
              <w:rPr>
                <w:rFonts w:cs="Times"/>
                <w:bCs/>
                <w:sz w:val="18"/>
                <w:szCs w:val="18"/>
                <w:lang w:val="en-US"/>
              </w:rPr>
              <w:t xml:space="preserve"> established technologies, (ii) several of the breeding improvement projects (ACGG, ADDG, CBBP) embedded within this livestock CRP have already started and will be ongoing at the start of the CRP, so deliverables for these projects are expected from the first year onward, (iii) previous studies have shown that major genetic gains may be achieved through ‘new’ genetics (e.g. small ruminant in Ethiopia, crossbred cattle in Senegal, </w:t>
            </w:r>
            <w:r w:rsidR="00041706" w:rsidRPr="0022416E">
              <w:rPr>
                <w:rFonts w:cs="Times"/>
                <w:bCs/>
                <w:sz w:val="18"/>
                <w:szCs w:val="18"/>
                <w:lang w:val="en-US"/>
              </w:rPr>
              <w:t xml:space="preserve">poultry in Ethiopia), (iv) new public – private partnerships (e.g. delivery of better poultry genetics and improved genetics through AI) are </w:t>
            </w:r>
            <w:r>
              <w:rPr>
                <w:rFonts w:cs="Times"/>
                <w:bCs/>
                <w:sz w:val="18"/>
                <w:szCs w:val="18"/>
                <w:lang w:val="en-US"/>
              </w:rPr>
              <w:t>part of</w:t>
            </w:r>
            <w:r w:rsidR="007544FB">
              <w:rPr>
                <w:rFonts w:cs="Times"/>
                <w:bCs/>
                <w:sz w:val="18"/>
                <w:szCs w:val="18"/>
                <w:lang w:val="en-US"/>
              </w:rPr>
              <w:t xml:space="preserve"> </w:t>
            </w:r>
            <w:r w:rsidR="00041706" w:rsidRPr="0022416E">
              <w:rPr>
                <w:rFonts w:cs="Times"/>
                <w:bCs/>
                <w:sz w:val="18"/>
                <w:szCs w:val="18"/>
                <w:lang w:val="en-US"/>
              </w:rPr>
              <w:t>project up-scaling activities.</w:t>
            </w:r>
          </w:p>
          <w:p w14:paraId="09D9EFB1" w14:textId="096B4B41" w:rsidR="00041706" w:rsidRPr="00514A00" w:rsidRDefault="00041706" w:rsidP="009A3389">
            <w:pPr>
              <w:rPr>
                <w:sz w:val="18"/>
                <w:szCs w:val="18"/>
              </w:rPr>
            </w:pPr>
            <w:r w:rsidRPr="0022416E">
              <w:rPr>
                <w:rFonts w:cs="Times"/>
                <w:bCs/>
                <w:sz w:val="18"/>
                <w:szCs w:val="18"/>
                <w:lang w:val="en-US"/>
              </w:rPr>
              <w:t xml:space="preserve">However, </w:t>
            </w:r>
            <w:r w:rsidR="003828C4">
              <w:rPr>
                <w:rFonts w:cs="Times"/>
                <w:bCs/>
                <w:sz w:val="18"/>
                <w:szCs w:val="18"/>
                <w:lang w:val="en-US"/>
              </w:rPr>
              <w:t>there are also</w:t>
            </w:r>
            <w:r w:rsidRPr="0022416E">
              <w:rPr>
                <w:rFonts w:cs="Times"/>
                <w:bCs/>
                <w:sz w:val="18"/>
                <w:szCs w:val="18"/>
                <w:lang w:val="en-US"/>
              </w:rPr>
              <w:t xml:space="preserve"> local circumstances beyond </w:t>
            </w:r>
            <w:r w:rsidR="003828C4">
              <w:rPr>
                <w:rFonts w:cs="Times"/>
                <w:bCs/>
                <w:sz w:val="18"/>
                <w:szCs w:val="18"/>
                <w:lang w:val="en-US"/>
              </w:rPr>
              <w:t>the CRP’s</w:t>
            </w:r>
            <w:r w:rsidRPr="0022416E">
              <w:rPr>
                <w:rFonts w:cs="Times"/>
                <w:bCs/>
                <w:sz w:val="18"/>
                <w:szCs w:val="18"/>
                <w:lang w:val="en-US"/>
              </w:rPr>
              <w:t xml:space="preserve"> control which may influence negatively these targets at local or at national level (e.g. unpredicted forthcoming political instability, extreme climatic challenges)</w:t>
            </w:r>
            <w:r>
              <w:rPr>
                <w:rFonts w:cs="Times"/>
                <w:bCs/>
                <w:sz w:val="18"/>
                <w:szCs w:val="18"/>
                <w:lang w:val="en-US"/>
              </w:rPr>
              <w:t xml:space="preserve">. </w:t>
            </w:r>
            <w:r w:rsidRPr="007967E6">
              <w:rPr>
                <w:rFonts w:cs="Times"/>
                <w:bCs/>
                <w:sz w:val="18"/>
                <w:szCs w:val="18"/>
                <w:lang w:val="en-US"/>
              </w:rPr>
              <w:t xml:space="preserve">Additionally, achievement of these targets </w:t>
            </w:r>
            <w:r w:rsidR="003828C4">
              <w:rPr>
                <w:rFonts w:cs="Times"/>
                <w:bCs/>
                <w:sz w:val="18"/>
                <w:szCs w:val="18"/>
                <w:lang w:val="en-US"/>
              </w:rPr>
              <w:t xml:space="preserve">depends </w:t>
            </w:r>
            <w:r w:rsidRPr="007967E6">
              <w:rPr>
                <w:rFonts w:cs="Times"/>
                <w:bCs/>
                <w:sz w:val="18"/>
                <w:szCs w:val="18"/>
                <w:lang w:val="en-US"/>
              </w:rPr>
              <w:t xml:space="preserve">on </w:t>
            </w:r>
            <w:r w:rsidR="003828C4">
              <w:rPr>
                <w:rFonts w:cs="Times"/>
                <w:bCs/>
                <w:sz w:val="18"/>
                <w:szCs w:val="18"/>
                <w:lang w:val="en-US"/>
              </w:rPr>
              <w:t>the CRP’s</w:t>
            </w:r>
            <w:r w:rsidRPr="007967E6">
              <w:rPr>
                <w:rFonts w:cs="Times"/>
                <w:bCs/>
                <w:sz w:val="18"/>
                <w:szCs w:val="18"/>
                <w:lang w:val="en-US"/>
              </w:rPr>
              <w:t xml:space="preserve"> continued ability to mobilize large-scale development-focused projects to deliver technologies widely. Accordingly</w:t>
            </w:r>
            <w:r w:rsidRPr="0022416E">
              <w:rPr>
                <w:rFonts w:cs="Times"/>
                <w:bCs/>
                <w:sz w:val="18"/>
                <w:szCs w:val="18"/>
                <w:lang w:val="en-US"/>
              </w:rPr>
              <w:t xml:space="preserve">, </w:t>
            </w:r>
            <w:r w:rsidR="009A3389">
              <w:rPr>
                <w:rFonts w:cs="Times"/>
                <w:bCs/>
                <w:sz w:val="18"/>
                <w:szCs w:val="18"/>
                <w:lang w:val="en-US"/>
              </w:rPr>
              <w:t>the flagship narrative</w:t>
            </w:r>
            <w:r w:rsidRPr="0022416E">
              <w:rPr>
                <w:rFonts w:cs="Times"/>
                <w:bCs/>
                <w:sz w:val="18"/>
                <w:szCs w:val="18"/>
                <w:lang w:val="en-US"/>
              </w:rPr>
              <w:t xml:space="preserve"> now provid</w:t>
            </w:r>
            <w:r w:rsidR="009A3389">
              <w:rPr>
                <w:rFonts w:cs="Times"/>
                <w:bCs/>
                <w:sz w:val="18"/>
                <w:szCs w:val="18"/>
                <w:lang w:val="en-US"/>
              </w:rPr>
              <w:t>es</w:t>
            </w:r>
            <w:r w:rsidRPr="0022416E">
              <w:rPr>
                <w:rFonts w:cs="Times"/>
                <w:bCs/>
                <w:sz w:val="18"/>
                <w:szCs w:val="18"/>
                <w:lang w:val="en-US"/>
              </w:rPr>
              <w:t xml:space="preserve"> target </w:t>
            </w:r>
            <w:r w:rsidRPr="00E93C16">
              <w:rPr>
                <w:rFonts w:cs="Times"/>
                <w:b/>
                <w:bCs/>
                <w:sz w:val="18"/>
                <w:szCs w:val="18"/>
                <w:lang w:val="en-US"/>
              </w:rPr>
              <w:t>ranges</w:t>
            </w:r>
            <w:r w:rsidRPr="0022416E">
              <w:rPr>
                <w:rFonts w:cs="Times"/>
                <w:bCs/>
                <w:sz w:val="18"/>
                <w:szCs w:val="18"/>
                <w:lang w:val="en-US"/>
              </w:rPr>
              <w:t xml:space="preserve"> for both income and g</w:t>
            </w:r>
            <w:r w:rsidR="009A3389">
              <w:rPr>
                <w:rFonts w:cs="Times"/>
                <w:bCs/>
                <w:sz w:val="18"/>
                <w:szCs w:val="18"/>
                <w:lang w:val="en-US"/>
              </w:rPr>
              <w:t>enetic gains at species levels</w:t>
            </w:r>
            <w:r w:rsidRPr="0022416E">
              <w:rPr>
                <w:rFonts w:cs="Times"/>
                <w:bCs/>
                <w:sz w:val="18"/>
                <w:szCs w:val="18"/>
                <w:lang w:val="en-US"/>
              </w:rPr>
              <w:t>.</w:t>
            </w:r>
          </w:p>
        </w:tc>
        <w:tc>
          <w:tcPr>
            <w:tcW w:w="1001" w:type="pct"/>
          </w:tcPr>
          <w:p w14:paraId="08CD0DD4" w14:textId="41950294" w:rsidR="00041706" w:rsidRPr="00514A00" w:rsidRDefault="00041706" w:rsidP="00041706">
            <w:pPr>
              <w:rPr>
                <w:sz w:val="18"/>
                <w:szCs w:val="18"/>
              </w:rPr>
            </w:pPr>
            <w:r w:rsidRPr="00514A00">
              <w:rPr>
                <w:sz w:val="18"/>
                <w:szCs w:val="18"/>
              </w:rPr>
              <w:t>See response to bullet 2 above.</w:t>
            </w:r>
          </w:p>
        </w:tc>
      </w:tr>
      <w:tr w:rsidR="00F04D52" w:rsidRPr="00514A00" w14:paraId="278AB7ED" w14:textId="77777777" w:rsidTr="000674F5">
        <w:trPr>
          <w:trHeight w:val="287"/>
        </w:trPr>
        <w:tc>
          <w:tcPr>
            <w:tcW w:w="1065" w:type="pct"/>
            <w:gridSpan w:val="3"/>
            <w:shd w:val="clear" w:color="auto" w:fill="1F4E79" w:themeFill="accent1" w:themeFillShade="80"/>
          </w:tcPr>
          <w:p w14:paraId="1A6C66BC" w14:textId="56FE094C" w:rsidR="00F04D52" w:rsidRPr="00514A00" w:rsidRDefault="00F04D52" w:rsidP="00F04D52">
            <w:pPr>
              <w:rPr>
                <w:b/>
                <w:color w:val="FFFFFF" w:themeColor="background1"/>
                <w:sz w:val="18"/>
                <w:szCs w:val="18"/>
              </w:rPr>
            </w:pPr>
            <w:r w:rsidRPr="00514A00">
              <w:rPr>
                <w:sz w:val="18"/>
                <w:szCs w:val="18"/>
              </w:rPr>
              <w:br w:type="page"/>
            </w:r>
            <w:r w:rsidRPr="00514A00">
              <w:rPr>
                <w:b/>
                <w:color w:val="FFFFFF" w:themeColor="background1"/>
                <w:sz w:val="18"/>
                <w:szCs w:val="18"/>
              </w:rPr>
              <w:t>ISPC Comments</w:t>
            </w:r>
          </w:p>
        </w:tc>
        <w:tc>
          <w:tcPr>
            <w:tcW w:w="2933" w:type="pct"/>
            <w:shd w:val="clear" w:color="auto" w:fill="1F4E79" w:themeFill="accent1" w:themeFillShade="80"/>
          </w:tcPr>
          <w:p w14:paraId="4BADF9FD" w14:textId="77777777" w:rsidR="00F04D52" w:rsidRPr="00514A00" w:rsidRDefault="00F04D52" w:rsidP="00F04D52">
            <w:pPr>
              <w:rPr>
                <w:b/>
                <w:color w:val="FFFFFF" w:themeColor="background1"/>
                <w:sz w:val="18"/>
                <w:szCs w:val="18"/>
              </w:rPr>
            </w:pPr>
            <w:r w:rsidRPr="00514A00">
              <w:rPr>
                <w:b/>
                <w:color w:val="FFFFFF" w:themeColor="background1"/>
                <w:sz w:val="18"/>
                <w:szCs w:val="18"/>
              </w:rPr>
              <w:t>Response</w:t>
            </w:r>
          </w:p>
        </w:tc>
        <w:tc>
          <w:tcPr>
            <w:tcW w:w="1001" w:type="pct"/>
            <w:shd w:val="clear" w:color="auto" w:fill="1F4E79" w:themeFill="accent1" w:themeFillShade="80"/>
          </w:tcPr>
          <w:p w14:paraId="6C5C2F2D" w14:textId="0C39A028" w:rsidR="00F04D52" w:rsidRPr="00514A00" w:rsidRDefault="00F04D52" w:rsidP="00F04D52">
            <w:pPr>
              <w:rPr>
                <w:b/>
                <w:color w:val="FFFFFF" w:themeColor="background1"/>
                <w:sz w:val="18"/>
                <w:szCs w:val="18"/>
              </w:rPr>
            </w:pPr>
            <w:r w:rsidRPr="00514A00">
              <w:rPr>
                <w:b/>
                <w:color w:val="FFFFFF" w:themeColor="background1"/>
                <w:sz w:val="18"/>
                <w:szCs w:val="18"/>
              </w:rPr>
              <w:t xml:space="preserve">Modifications to narrative </w:t>
            </w:r>
          </w:p>
        </w:tc>
      </w:tr>
      <w:tr w:rsidR="00F04D52" w:rsidRPr="00514A00" w14:paraId="28F1AE8F" w14:textId="77777777" w:rsidTr="000674F5">
        <w:trPr>
          <w:trHeight w:val="530"/>
        </w:trPr>
        <w:tc>
          <w:tcPr>
            <w:tcW w:w="1065" w:type="pct"/>
            <w:gridSpan w:val="3"/>
          </w:tcPr>
          <w:p w14:paraId="2FC7B92A" w14:textId="77777777" w:rsidR="00F04D52" w:rsidRPr="00514A00" w:rsidRDefault="00F04D52" w:rsidP="00F04D52">
            <w:pPr>
              <w:pStyle w:val="ListParagraph"/>
              <w:numPr>
                <w:ilvl w:val="0"/>
                <w:numId w:val="39"/>
              </w:numPr>
              <w:rPr>
                <w:sz w:val="18"/>
                <w:szCs w:val="18"/>
              </w:rPr>
            </w:pPr>
            <w:r w:rsidRPr="00514A00">
              <w:rPr>
                <w:b/>
                <w:sz w:val="18"/>
                <w:szCs w:val="18"/>
              </w:rPr>
              <w:t xml:space="preserve">Include additional detail on the CRP’s relationship with the private sector, and how this </w:t>
            </w:r>
            <w:r w:rsidRPr="00514A00">
              <w:rPr>
                <w:b/>
                <w:sz w:val="18"/>
                <w:szCs w:val="18"/>
              </w:rPr>
              <w:lastRenderedPageBreak/>
              <w:t>contributes to maximizing Livestock’s comparative advantage.</w:t>
            </w:r>
          </w:p>
          <w:p w14:paraId="37F5797E" w14:textId="77777777" w:rsidR="00F04D52" w:rsidRPr="00514A00" w:rsidRDefault="00F04D52" w:rsidP="00F04D52">
            <w:pPr>
              <w:rPr>
                <w:sz w:val="18"/>
                <w:szCs w:val="18"/>
              </w:rPr>
            </w:pPr>
          </w:p>
          <w:p w14:paraId="0009F320" w14:textId="77777777" w:rsidR="00F04D52" w:rsidRPr="00514A00" w:rsidRDefault="00F04D52" w:rsidP="00F04D52">
            <w:pPr>
              <w:rPr>
                <w:sz w:val="18"/>
                <w:szCs w:val="18"/>
              </w:rPr>
            </w:pPr>
            <w:r w:rsidRPr="00514A00">
              <w:rPr>
                <w:sz w:val="18"/>
                <w:szCs w:val="18"/>
              </w:rPr>
              <w:t>While there is a discussion of roles and responsibilities relative to a small (but significant) number of partners, there is much less with respect to the private sector.</w:t>
            </w:r>
          </w:p>
          <w:p w14:paraId="18C0C8CD" w14:textId="77777777" w:rsidR="00F04D52" w:rsidRPr="00514A00" w:rsidRDefault="00F04D52" w:rsidP="00F04D52">
            <w:pPr>
              <w:rPr>
                <w:sz w:val="18"/>
                <w:szCs w:val="18"/>
              </w:rPr>
            </w:pPr>
          </w:p>
          <w:p w14:paraId="0FBECC34" w14:textId="6B1C9A78" w:rsidR="00F04D52" w:rsidRPr="00514A00" w:rsidRDefault="00F04D52" w:rsidP="00F04D52">
            <w:pPr>
              <w:rPr>
                <w:sz w:val="18"/>
                <w:szCs w:val="18"/>
              </w:rPr>
            </w:pPr>
            <w:r w:rsidRPr="00514A00">
              <w:rPr>
                <w:sz w:val="18"/>
                <w:szCs w:val="18"/>
              </w:rPr>
              <w:t>The ISPC requests Livestock to include additional detail on the CRP’s relationship with the private sector, and how this contributes to maximizing its comparative advantage in an addendum to the proposal.</w:t>
            </w:r>
          </w:p>
        </w:tc>
        <w:tc>
          <w:tcPr>
            <w:tcW w:w="2933" w:type="pct"/>
          </w:tcPr>
          <w:p w14:paraId="5A076A09" w14:textId="77777777" w:rsidR="00865B8C" w:rsidRPr="00865B8C" w:rsidRDefault="00865B8C" w:rsidP="00865B8C">
            <w:pPr>
              <w:rPr>
                <w:sz w:val="18"/>
                <w:szCs w:val="18"/>
                <w:lang w:val="en-US"/>
              </w:rPr>
            </w:pPr>
            <w:r w:rsidRPr="00514A00">
              <w:rPr>
                <w:sz w:val="18"/>
                <w:szCs w:val="18"/>
                <w:lang w:val="en-US"/>
              </w:rPr>
              <w:lastRenderedPageBreak/>
              <w:t xml:space="preserve">Partnership with private sector is clearly critical for the Livestock CRP to achieve its objectives. The rationale and modalities for such partnerships are outlined in the partnership strategy (annex 3.1) and several examples are cited there. The private sector contributes to the comparative advantage of the CRP in two </w:t>
            </w:r>
            <w:r w:rsidRPr="00514A00">
              <w:rPr>
                <w:sz w:val="18"/>
                <w:szCs w:val="18"/>
                <w:lang w:val="en-US"/>
              </w:rPr>
              <w:lastRenderedPageBreak/>
              <w:t xml:space="preserve">main ways. The first is strengthening the ability of the CRP to undertake discovery research through the additional capacity private sector can bring to bear on specific technical issues such as proprietary IP that can accelerate vaccine </w:t>
            </w:r>
            <w:r w:rsidRPr="00865B8C">
              <w:rPr>
                <w:sz w:val="18"/>
                <w:szCs w:val="18"/>
                <w:lang w:val="en-US"/>
              </w:rPr>
              <w:t>development. The second is harnessing the central role of the private sector in scaling out research outputs, not only in the form of commercial products but also as business development services for professionalizing small-scale producers and value chain actors or upgrading livestock value chains, as well as promoting business-based inclusive and sustainable livestock development models nationally and globally. Potential private sector collaborators that can contribute effectively in these roles range from multinational companies (e.g. animal pharmaceutical companies) to companies operating in national and local commercial sectors, to SMSE and individual business operators working in both formal and informal sectors. These roles are consistent with and assumed a central feature of how the CRP is addressing the three partnership challenges described in the partnership strategy, as well as allowing the CRP to learn from successful private sector strategies and models. Conversely, the CRP strengthens the comparative advantage of private sector partners by increasing their access to information and options that better target their product and market development.</w:t>
            </w:r>
          </w:p>
          <w:p w14:paraId="697BD04E" w14:textId="77777777" w:rsidR="00865B8C" w:rsidRPr="00865B8C" w:rsidRDefault="00865B8C" w:rsidP="00865B8C">
            <w:pPr>
              <w:rPr>
                <w:sz w:val="18"/>
                <w:szCs w:val="18"/>
                <w:lang w:val="en-US"/>
              </w:rPr>
            </w:pPr>
          </w:p>
          <w:p w14:paraId="4DF335E6" w14:textId="77777777" w:rsidR="00865B8C" w:rsidRPr="00865B8C" w:rsidRDefault="00865B8C" w:rsidP="00865B8C">
            <w:pPr>
              <w:rPr>
                <w:sz w:val="18"/>
                <w:szCs w:val="18"/>
                <w:lang w:val="en-US"/>
              </w:rPr>
            </w:pPr>
            <w:r w:rsidRPr="00865B8C">
              <w:rPr>
                <w:sz w:val="18"/>
                <w:szCs w:val="18"/>
                <w:lang w:val="en-US"/>
              </w:rPr>
              <w:t xml:space="preserve">The CRP’s relationship with the private sector is guided by the principles outlined in the partnership strategy, but recognizing the different objectives and motivations of the private versus public sector means more care is required to ensure each party’s objectives are </w:t>
            </w:r>
            <w:r w:rsidRPr="007544FB">
              <w:rPr>
                <w:sz w:val="18"/>
                <w:szCs w:val="18"/>
                <w:lang w:val="en-US"/>
              </w:rPr>
              <w:t>mutually compatible,</w:t>
            </w:r>
            <w:r w:rsidRPr="00865B8C">
              <w:rPr>
                <w:sz w:val="18"/>
                <w:szCs w:val="18"/>
                <w:lang w:val="en-US"/>
              </w:rPr>
              <w:t xml:space="preserve"> rather than necessarily having a common objective as expected with other types of partners. When establishing a partnership with the private sector, particular attention is therefore given to explicitly identifying the motivation for the private sector involvement, which typically will refer to one of the following perceived benefits: </w:t>
            </w:r>
          </w:p>
          <w:p w14:paraId="0667922C" w14:textId="77777777" w:rsidR="00865B8C" w:rsidRPr="00865B8C" w:rsidRDefault="00865B8C" w:rsidP="00865B8C">
            <w:pPr>
              <w:pStyle w:val="ListParagraph"/>
              <w:numPr>
                <w:ilvl w:val="0"/>
                <w:numId w:val="18"/>
              </w:numPr>
              <w:rPr>
                <w:sz w:val="18"/>
                <w:szCs w:val="18"/>
                <w:lang w:val="en-US"/>
              </w:rPr>
            </w:pPr>
            <w:r w:rsidRPr="00865B8C">
              <w:rPr>
                <w:sz w:val="18"/>
                <w:szCs w:val="18"/>
                <w:lang w:val="en-US"/>
              </w:rPr>
              <w:t>Product development – being the leader and getting edge in marketing a new product, to capture profit on new product</w:t>
            </w:r>
          </w:p>
          <w:p w14:paraId="4E5F5EC0" w14:textId="77777777" w:rsidR="00865B8C" w:rsidRPr="00865B8C" w:rsidRDefault="00865B8C" w:rsidP="00865B8C">
            <w:pPr>
              <w:pStyle w:val="ListParagraph"/>
              <w:numPr>
                <w:ilvl w:val="0"/>
                <w:numId w:val="18"/>
              </w:numPr>
              <w:rPr>
                <w:sz w:val="18"/>
                <w:szCs w:val="18"/>
                <w:lang w:val="en-US"/>
              </w:rPr>
            </w:pPr>
            <w:r w:rsidRPr="00865B8C">
              <w:rPr>
                <w:sz w:val="18"/>
                <w:szCs w:val="18"/>
                <w:lang w:val="en-US"/>
              </w:rPr>
              <w:t>Market development – understanding how to adapt products or services to expand their market share to new population segments, e.g. the recent interest in the ‘bottom of the pyramid’ markets, or an SMSE establishing its initial market</w:t>
            </w:r>
          </w:p>
          <w:p w14:paraId="3BC2D181" w14:textId="77777777" w:rsidR="00865B8C" w:rsidRPr="00865B8C" w:rsidRDefault="00865B8C" w:rsidP="00865B8C">
            <w:pPr>
              <w:pStyle w:val="ListParagraph"/>
              <w:numPr>
                <w:ilvl w:val="0"/>
                <w:numId w:val="18"/>
              </w:numPr>
              <w:rPr>
                <w:sz w:val="18"/>
                <w:szCs w:val="18"/>
                <w:lang w:val="en-US"/>
              </w:rPr>
            </w:pPr>
            <w:r w:rsidRPr="00865B8C">
              <w:rPr>
                <w:sz w:val="18"/>
                <w:szCs w:val="18"/>
                <w:lang w:val="en-US"/>
              </w:rPr>
              <w:t>Enhancing intangibles of goodwill, brand recognition and reputation, possibly related to business-motivated CSR or to promoting sector development (e.g. meat producers group)</w:t>
            </w:r>
          </w:p>
          <w:p w14:paraId="3BEC0EF7" w14:textId="77777777" w:rsidR="00865B8C" w:rsidRPr="00865B8C" w:rsidRDefault="00865B8C" w:rsidP="00865B8C">
            <w:pPr>
              <w:rPr>
                <w:sz w:val="18"/>
                <w:szCs w:val="18"/>
                <w:lang w:val="en-US"/>
              </w:rPr>
            </w:pPr>
            <w:r w:rsidRPr="00865B8C">
              <w:rPr>
                <w:sz w:val="18"/>
                <w:szCs w:val="18"/>
                <w:lang w:val="en-US"/>
              </w:rPr>
              <w:t>The specific opportunity and motivation informs the appropriate type of partnership arrangement as service provider, research collaborator, development implementer or member of a local or international platform. It also suggests that the CRP will need a process for explicitly assessing risks of such arrangements, including potential reputational risk of perceptions of providing unfair advantage to individual partners.</w:t>
            </w:r>
          </w:p>
          <w:p w14:paraId="2733DFCB" w14:textId="77777777" w:rsidR="00865B8C" w:rsidRPr="00865B8C" w:rsidRDefault="00865B8C" w:rsidP="00865B8C">
            <w:pPr>
              <w:rPr>
                <w:sz w:val="18"/>
                <w:szCs w:val="18"/>
                <w:lang w:val="en-US"/>
              </w:rPr>
            </w:pPr>
          </w:p>
          <w:p w14:paraId="6A06F00C" w14:textId="77777777" w:rsidR="00865B8C" w:rsidRPr="00514A00" w:rsidRDefault="00865B8C" w:rsidP="00865B8C">
            <w:pPr>
              <w:rPr>
                <w:i/>
                <w:sz w:val="18"/>
                <w:szCs w:val="18"/>
                <w:lang w:val="en-US"/>
              </w:rPr>
            </w:pPr>
            <w:r w:rsidRPr="00865B8C">
              <w:rPr>
                <w:sz w:val="18"/>
                <w:szCs w:val="18"/>
                <w:lang w:val="en-US"/>
              </w:rPr>
              <w:t>These elements of the partnership strategy explain the rationale for existing collaboration with the private sector and guide evaluation of new potential partners. Examples of the various configurations of private sector partnership are provided in the profiles of key strategic partnerships in Annex 3.1, with additional detail on selected examples provided as an additional annex Table 3.1c.</w:t>
            </w:r>
          </w:p>
          <w:p w14:paraId="287F9609" w14:textId="77777777" w:rsidR="00F04D52" w:rsidRPr="00514A00" w:rsidRDefault="00F04D52" w:rsidP="00F04D52">
            <w:pPr>
              <w:rPr>
                <w:sz w:val="18"/>
                <w:szCs w:val="18"/>
                <w:lang w:val="en-US"/>
              </w:rPr>
            </w:pPr>
          </w:p>
          <w:p w14:paraId="728C0731" w14:textId="77777777" w:rsidR="00F04D52" w:rsidRPr="00514A00" w:rsidRDefault="00F04D52" w:rsidP="00F04D52">
            <w:pPr>
              <w:rPr>
                <w:sz w:val="18"/>
                <w:szCs w:val="18"/>
                <w:lang w:val="en-US"/>
              </w:rPr>
            </w:pPr>
          </w:p>
          <w:p w14:paraId="00FCD2D3" w14:textId="77777777" w:rsidR="00F04D52" w:rsidRPr="00514A00" w:rsidRDefault="00F04D52" w:rsidP="00F04D52">
            <w:pPr>
              <w:jc w:val="both"/>
              <w:rPr>
                <w:sz w:val="18"/>
                <w:szCs w:val="18"/>
              </w:rPr>
            </w:pPr>
          </w:p>
        </w:tc>
        <w:tc>
          <w:tcPr>
            <w:tcW w:w="1001" w:type="pct"/>
          </w:tcPr>
          <w:p w14:paraId="7D698DA5" w14:textId="77777777" w:rsidR="009A3389" w:rsidRDefault="009A3389" w:rsidP="009A3389">
            <w:pPr>
              <w:rPr>
                <w:sz w:val="18"/>
                <w:szCs w:val="18"/>
              </w:rPr>
            </w:pPr>
            <w:r>
              <w:rPr>
                <w:sz w:val="18"/>
                <w:szCs w:val="18"/>
              </w:rPr>
              <w:lastRenderedPageBreak/>
              <w:t>Several changes have been made to the overall narrative.</w:t>
            </w:r>
          </w:p>
          <w:p w14:paraId="7F3F6A67" w14:textId="77777777" w:rsidR="009A3389" w:rsidRDefault="009A3389" w:rsidP="00F04D52">
            <w:pPr>
              <w:rPr>
                <w:b/>
                <w:sz w:val="18"/>
                <w:szCs w:val="18"/>
                <w:lang w:val="en-US"/>
              </w:rPr>
            </w:pPr>
          </w:p>
          <w:p w14:paraId="690EBD57" w14:textId="77777777" w:rsidR="009A3389" w:rsidRDefault="00F04D52" w:rsidP="00F04D52">
            <w:pPr>
              <w:rPr>
                <w:sz w:val="18"/>
                <w:szCs w:val="18"/>
                <w:lang w:val="en-US"/>
              </w:rPr>
            </w:pPr>
            <w:r w:rsidRPr="00865B8C">
              <w:rPr>
                <w:sz w:val="18"/>
                <w:szCs w:val="18"/>
                <w:lang w:val="en-US"/>
              </w:rPr>
              <w:lastRenderedPageBreak/>
              <w:t>Section 1.0.8</w:t>
            </w:r>
            <w:r w:rsidR="009A3389">
              <w:rPr>
                <w:sz w:val="18"/>
                <w:szCs w:val="18"/>
                <w:lang w:val="en-US"/>
              </w:rPr>
              <w:t xml:space="preserve">: Changes on </w:t>
            </w:r>
            <w:r w:rsidR="00865B8C" w:rsidRPr="00865B8C">
              <w:rPr>
                <w:sz w:val="18"/>
                <w:szCs w:val="18"/>
                <w:lang w:val="en-US"/>
              </w:rPr>
              <w:t>pages 32 and 33</w:t>
            </w:r>
          </w:p>
          <w:p w14:paraId="7A791AA9" w14:textId="77777777" w:rsidR="00F04D52" w:rsidRPr="00514A00" w:rsidRDefault="00F04D52" w:rsidP="00F04D52">
            <w:pPr>
              <w:rPr>
                <w:b/>
                <w:sz w:val="18"/>
                <w:szCs w:val="18"/>
                <w:lang w:val="en-US"/>
              </w:rPr>
            </w:pPr>
          </w:p>
          <w:p w14:paraId="6DE2F32A" w14:textId="77777777" w:rsidR="009A3389" w:rsidRPr="009A3389" w:rsidRDefault="00F04D52" w:rsidP="00F04D52">
            <w:pPr>
              <w:rPr>
                <w:sz w:val="18"/>
                <w:szCs w:val="18"/>
                <w:lang w:val="en-US"/>
              </w:rPr>
            </w:pPr>
            <w:r w:rsidRPr="009A3389">
              <w:rPr>
                <w:sz w:val="18"/>
                <w:szCs w:val="18"/>
                <w:lang w:val="en-US"/>
              </w:rPr>
              <w:t xml:space="preserve">Changes </w:t>
            </w:r>
            <w:r w:rsidR="009A3389" w:rsidRPr="009A3389">
              <w:rPr>
                <w:sz w:val="18"/>
                <w:szCs w:val="18"/>
                <w:lang w:val="en-US"/>
              </w:rPr>
              <w:t xml:space="preserve">have been made </w:t>
            </w:r>
            <w:r w:rsidRPr="009A3389">
              <w:rPr>
                <w:sz w:val="18"/>
                <w:szCs w:val="18"/>
                <w:lang w:val="en-US"/>
              </w:rPr>
              <w:t>in Annex 3.1</w:t>
            </w:r>
          </w:p>
          <w:p w14:paraId="329E95C7" w14:textId="77777777" w:rsidR="00F04D52" w:rsidRPr="00514A00" w:rsidRDefault="00F04D52" w:rsidP="00F04D52">
            <w:pPr>
              <w:contextualSpacing/>
              <w:rPr>
                <w:rFonts w:eastAsia="MS Mincho" w:cs="Times New Roman"/>
                <w:sz w:val="18"/>
                <w:szCs w:val="18"/>
              </w:rPr>
            </w:pPr>
          </w:p>
          <w:p w14:paraId="1EFD6867" w14:textId="007322A2" w:rsidR="00F04D52" w:rsidRPr="00514A00" w:rsidRDefault="009A3389" w:rsidP="00F04D52">
            <w:pPr>
              <w:contextualSpacing/>
              <w:rPr>
                <w:rFonts w:eastAsia="MS Mincho" w:cs="Times New Roman"/>
                <w:sz w:val="18"/>
                <w:szCs w:val="18"/>
              </w:rPr>
            </w:pPr>
            <w:r>
              <w:rPr>
                <w:rFonts w:eastAsia="MS Mincho" w:cs="Times New Roman"/>
                <w:sz w:val="18"/>
                <w:szCs w:val="18"/>
              </w:rPr>
              <w:t>Changes in the ‘selecting partners’ section, page 3</w:t>
            </w:r>
          </w:p>
          <w:p w14:paraId="0B0451A2" w14:textId="77777777" w:rsidR="009A3389" w:rsidRDefault="009A3389" w:rsidP="00F04D52">
            <w:pPr>
              <w:rPr>
                <w:sz w:val="18"/>
                <w:szCs w:val="18"/>
                <w:lang w:val="en-US"/>
              </w:rPr>
            </w:pPr>
          </w:p>
          <w:p w14:paraId="2E3CEB00" w14:textId="7B961AE8" w:rsidR="00F04D52" w:rsidRPr="00514A00" w:rsidRDefault="009A3389" w:rsidP="00F04D52">
            <w:pPr>
              <w:rPr>
                <w:sz w:val="18"/>
                <w:szCs w:val="18"/>
                <w:lang w:val="en-US"/>
              </w:rPr>
            </w:pPr>
            <w:r>
              <w:rPr>
                <w:sz w:val="18"/>
                <w:szCs w:val="18"/>
                <w:lang w:val="en-US"/>
              </w:rPr>
              <w:t xml:space="preserve">An additional </w:t>
            </w:r>
            <w:r w:rsidR="00F04D52" w:rsidRPr="00514A00">
              <w:rPr>
                <w:sz w:val="18"/>
                <w:szCs w:val="18"/>
                <w:lang w:val="en-US"/>
              </w:rPr>
              <w:t xml:space="preserve">Table 3.1c </w:t>
            </w:r>
            <w:r>
              <w:rPr>
                <w:sz w:val="18"/>
                <w:szCs w:val="18"/>
                <w:lang w:val="en-US"/>
              </w:rPr>
              <w:t>(page 2</w:t>
            </w:r>
            <w:r w:rsidR="00DD41C4">
              <w:rPr>
                <w:sz w:val="18"/>
                <w:szCs w:val="18"/>
                <w:lang w:val="en-US"/>
              </w:rPr>
              <w:t>6 of the annex</w:t>
            </w:r>
            <w:r>
              <w:rPr>
                <w:sz w:val="18"/>
                <w:szCs w:val="18"/>
                <w:lang w:val="en-US"/>
              </w:rPr>
              <w:t xml:space="preserve">) </w:t>
            </w:r>
            <w:r w:rsidR="00F04D52" w:rsidRPr="00514A00">
              <w:rPr>
                <w:sz w:val="18"/>
                <w:szCs w:val="18"/>
                <w:lang w:val="en-US"/>
              </w:rPr>
              <w:t>has been added to provide examples of private sector partners describing their role, the level at which they collaborate with the CRP (local, national, global), and their motivation, illustrating the narrative added highlighting considerations specific to the private sector partnership.</w:t>
            </w:r>
          </w:p>
          <w:p w14:paraId="6CF92135" w14:textId="77777777" w:rsidR="00F04D52" w:rsidRPr="00514A00" w:rsidRDefault="00F04D52" w:rsidP="00F04D52">
            <w:pPr>
              <w:rPr>
                <w:sz w:val="18"/>
                <w:szCs w:val="18"/>
                <w:lang w:val="en-US"/>
              </w:rPr>
            </w:pPr>
          </w:p>
          <w:p w14:paraId="42BB5D28" w14:textId="77777777" w:rsidR="00F04D52" w:rsidRPr="00514A00" w:rsidRDefault="00F04D52" w:rsidP="00F04D52">
            <w:pPr>
              <w:rPr>
                <w:sz w:val="18"/>
                <w:szCs w:val="18"/>
              </w:rPr>
            </w:pPr>
          </w:p>
        </w:tc>
      </w:tr>
    </w:tbl>
    <w:p w14:paraId="3C8CBF84" w14:textId="77777777" w:rsidR="00B32760" w:rsidRDefault="00B32760">
      <w:pPr>
        <w:rPr>
          <w:sz w:val="32"/>
          <w:szCs w:val="32"/>
        </w:rPr>
      </w:pPr>
    </w:p>
    <w:p w14:paraId="2777D876" w14:textId="73C0654B" w:rsidR="00666E32" w:rsidRPr="00B356A6" w:rsidRDefault="00B356A6" w:rsidP="00EC6B33">
      <w:pPr>
        <w:pStyle w:val="Heading2"/>
        <w:rPr>
          <w:b/>
        </w:rPr>
      </w:pPr>
      <w:bookmarkStart w:id="12" w:name="_Toc455740923"/>
      <w:r w:rsidRPr="00B356A6">
        <w:rPr>
          <w:b/>
        </w:rPr>
        <w:t xml:space="preserve">Table 2. </w:t>
      </w:r>
      <w:r w:rsidR="00B32760" w:rsidRPr="00B356A6">
        <w:rPr>
          <w:b/>
        </w:rPr>
        <w:t xml:space="preserve">Responses to other </w:t>
      </w:r>
      <w:r w:rsidR="00666E32" w:rsidRPr="00B356A6">
        <w:rPr>
          <w:b/>
        </w:rPr>
        <w:t xml:space="preserve">comments and </w:t>
      </w:r>
      <w:r w:rsidR="00B32760" w:rsidRPr="00B356A6">
        <w:rPr>
          <w:b/>
        </w:rPr>
        <w:t xml:space="preserve">suggestions </w:t>
      </w:r>
    </w:p>
    <w:bookmarkEnd w:id="12"/>
    <w:p w14:paraId="77E4E325" w14:textId="68131C7E" w:rsidR="00B32760" w:rsidRDefault="00B32760" w:rsidP="00EC6B33">
      <w:pPr>
        <w:pStyle w:val="Heading2"/>
      </w:pPr>
    </w:p>
    <w:tbl>
      <w:tblPr>
        <w:tblStyle w:val="TableGrid"/>
        <w:tblW w:w="5000" w:type="pct"/>
        <w:tblLook w:val="04A0" w:firstRow="1" w:lastRow="0" w:firstColumn="1" w:lastColumn="0" w:noHBand="0" w:noVBand="1"/>
      </w:tblPr>
      <w:tblGrid>
        <w:gridCol w:w="2966"/>
        <w:gridCol w:w="8190"/>
        <w:gridCol w:w="2792"/>
      </w:tblGrid>
      <w:tr w:rsidR="00B32760" w:rsidRPr="004E3F12" w14:paraId="040D5750" w14:textId="77777777" w:rsidTr="00846407">
        <w:tc>
          <w:tcPr>
            <w:tcW w:w="1063" w:type="pct"/>
            <w:shd w:val="clear" w:color="auto" w:fill="1F4E79" w:themeFill="accent1" w:themeFillShade="80"/>
          </w:tcPr>
          <w:p w14:paraId="606C2698" w14:textId="6F8715A4" w:rsidR="00B32760" w:rsidRPr="004E3F12" w:rsidRDefault="00E62992" w:rsidP="00255208">
            <w:pPr>
              <w:rPr>
                <w:b/>
                <w:color w:val="FFFFFF" w:themeColor="background1"/>
                <w:sz w:val="18"/>
                <w:szCs w:val="18"/>
              </w:rPr>
            </w:pPr>
            <w:r w:rsidRPr="004E3F12">
              <w:rPr>
                <w:b/>
                <w:color w:val="FFFFFF" w:themeColor="background1"/>
                <w:sz w:val="18"/>
                <w:szCs w:val="18"/>
              </w:rPr>
              <w:t xml:space="preserve">ISPC </w:t>
            </w:r>
            <w:r w:rsidR="00B32760" w:rsidRPr="004E3F12">
              <w:rPr>
                <w:b/>
                <w:color w:val="FFFFFF" w:themeColor="background1"/>
                <w:sz w:val="18"/>
                <w:szCs w:val="18"/>
              </w:rPr>
              <w:t>Comments</w:t>
            </w:r>
          </w:p>
        </w:tc>
        <w:tc>
          <w:tcPr>
            <w:tcW w:w="2936" w:type="pct"/>
            <w:shd w:val="clear" w:color="auto" w:fill="1F4E79" w:themeFill="accent1" w:themeFillShade="80"/>
          </w:tcPr>
          <w:p w14:paraId="30116E9C" w14:textId="77777777" w:rsidR="00B32760" w:rsidRPr="004E3F12" w:rsidRDefault="00B32760" w:rsidP="00255208">
            <w:pPr>
              <w:rPr>
                <w:b/>
                <w:color w:val="FFFFFF" w:themeColor="background1"/>
                <w:sz w:val="18"/>
                <w:szCs w:val="18"/>
              </w:rPr>
            </w:pPr>
            <w:r w:rsidRPr="004E3F12">
              <w:rPr>
                <w:b/>
                <w:color w:val="FFFFFF" w:themeColor="background1"/>
                <w:sz w:val="18"/>
                <w:szCs w:val="18"/>
              </w:rPr>
              <w:t>Response</w:t>
            </w:r>
          </w:p>
        </w:tc>
        <w:tc>
          <w:tcPr>
            <w:tcW w:w="1001" w:type="pct"/>
            <w:shd w:val="clear" w:color="auto" w:fill="1F4E79" w:themeFill="accent1" w:themeFillShade="80"/>
          </w:tcPr>
          <w:p w14:paraId="27CD24E6" w14:textId="63F1AED9" w:rsidR="00B32760" w:rsidRPr="004E3F12" w:rsidRDefault="00B32760" w:rsidP="00E62992">
            <w:pPr>
              <w:rPr>
                <w:b/>
                <w:color w:val="FFFFFF" w:themeColor="background1"/>
                <w:sz w:val="18"/>
                <w:szCs w:val="18"/>
              </w:rPr>
            </w:pPr>
            <w:r w:rsidRPr="004E3F12">
              <w:rPr>
                <w:b/>
                <w:color w:val="FFFFFF" w:themeColor="background1"/>
                <w:sz w:val="18"/>
                <w:szCs w:val="18"/>
              </w:rPr>
              <w:t>Modifications to narrative</w:t>
            </w:r>
          </w:p>
        </w:tc>
      </w:tr>
      <w:tr w:rsidR="008B52C3" w:rsidRPr="004E3F12" w14:paraId="1674CBCD" w14:textId="77777777" w:rsidTr="00846407">
        <w:tc>
          <w:tcPr>
            <w:tcW w:w="1063" w:type="pct"/>
            <w:shd w:val="clear" w:color="auto" w:fill="9CC2E5" w:themeFill="accent1" w:themeFillTint="99"/>
          </w:tcPr>
          <w:p w14:paraId="2F6F0300" w14:textId="3E287CDA" w:rsidR="008B52C3" w:rsidRPr="004E3F12" w:rsidRDefault="008B52C3" w:rsidP="00103209">
            <w:pPr>
              <w:rPr>
                <w:b/>
                <w:sz w:val="18"/>
                <w:szCs w:val="18"/>
              </w:rPr>
            </w:pPr>
            <w:r w:rsidRPr="004E3F12">
              <w:rPr>
                <w:b/>
                <w:sz w:val="18"/>
                <w:szCs w:val="18"/>
              </w:rPr>
              <w:t>Overall</w:t>
            </w:r>
          </w:p>
        </w:tc>
        <w:tc>
          <w:tcPr>
            <w:tcW w:w="2936" w:type="pct"/>
            <w:shd w:val="clear" w:color="auto" w:fill="9CC2E5" w:themeFill="accent1" w:themeFillTint="99"/>
          </w:tcPr>
          <w:p w14:paraId="50D2DE42" w14:textId="77777777" w:rsidR="008B52C3" w:rsidRPr="004E3F12" w:rsidRDefault="008B52C3" w:rsidP="00103209">
            <w:pPr>
              <w:rPr>
                <w:sz w:val="18"/>
                <w:szCs w:val="18"/>
              </w:rPr>
            </w:pPr>
          </w:p>
        </w:tc>
        <w:tc>
          <w:tcPr>
            <w:tcW w:w="1001" w:type="pct"/>
            <w:shd w:val="clear" w:color="auto" w:fill="9CC2E5" w:themeFill="accent1" w:themeFillTint="99"/>
          </w:tcPr>
          <w:p w14:paraId="44A559DA" w14:textId="77777777" w:rsidR="008B52C3" w:rsidRPr="004E3F12" w:rsidRDefault="008B52C3" w:rsidP="00103209">
            <w:pPr>
              <w:rPr>
                <w:sz w:val="18"/>
                <w:szCs w:val="18"/>
              </w:rPr>
            </w:pPr>
          </w:p>
        </w:tc>
      </w:tr>
      <w:tr w:rsidR="00F04D52" w:rsidRPr="004E3F12" w14:paraId="161DA2C3" w14:textId="77777777" w:rsidTr="00846407">
        <w:tc>
          <w:tcPr>
            <w:tcW w:w="1063" w:type="pct"/>
          </w:tcPr>
          <w:p w14:paraId="0EDB3DAE" w14:textId="77777777" w:rsidR="00F04D52" w:rsidRPr="004E3F12" w:rsidRDefault="00F04D52" w:rsidP="00F04D52">
            <w:pPr>
              <w:rPr>
                <w:b/>
                <w:sz w:val="18"/>
                <w:szCs w:val="18"/>
                <w:highlight w:val="yellow"/>
              </w:rPr>
            </w:pPr>
            <w:r w:rsidRPr="004E3F12">
              <w:rPr>
                <w:b/>
                <w:sz w:val="18"/>
                <w:szCs w:val="18"/>
              </w:rPr>
              <w:t>This is an important issue for the CRP to clarify: explicate the arguments and assumptions that the research areas proposed are likely to play a critical role in the growth of smallholder-based animal agriculture production. The CRP is designed entirely around the premise of growth in the smallholder livestock sector, and if it is false, the research agenda of Livestock would not be able to deliver what is promised (p2/3)</w:t>
            </w:r>
          </w:p>
          <w:p w14:paraId="0BD9F6BC" w14:textId="77777777" w:rsidR="00F04D52" w:rsidRPr="004E3F12" w:rsidRDefault="00F04D52" w:rsidP="00F04D52">
            <w:pPr>
              <w:rPr>
                <w:b/>
                <w:sz w:val="18"/>
                <w:szCs w:val="18"/>
              </w:rPr>
            </w:pPr>
          </w:p>
          <w:p w14:paraId="43DB3874" w14:textId="77777777" w:rsidR="00F04D52" w:rsidRPr="004E3F12" w:rsidRDefault="00F04D52" w:rsidP="00F04D52">
            <w:pPr>
              <w:rPr>
                <w:sz w:val="18"/>
                <w:szCs w:val="18"/>
              </w:rPr>
            </w:pPr>
            <w:r w:rsidRPr="004E3F12">
              <w:rPr>
                <w:b/>
                <w:sz w:val="18"/>
                <w:szCs w:val="18"/>
              </w:rPr>
              <w:t>The CRP may want to consider ways in which research priorities might change if it turns out that smallholder systems are not the place where the CRP can make its biggest contribution. (p4)</w:t>
            </w:r>
          </w:p>
        </w:tc>
        <w:tc>
          <w:tcPr>
            <w:tcW w:w="2936" w:type="pct"/>
          </w:tcPr>
          <w:p w14:paraId="46C128E8" w14:textId="77777777" w:rsidR="00EF1C50" w:rsidRDefault="004E3F12" w:rsidP="004E3F12">
            <w:pPr>
              <w:rPr>
                <w:sz w:val="18"/>
                <w:szCs w:val="18"/>
              </w:rPr>
            </w:pPr>
            <w:r w:rsidRPr="004E3F12">
              <w:rPr>
                <w:sz w:val="18"/>
                <w:szCs w:val="18"/>
              </w:rPr>
              <w:t>Whil</w:t>
            </w:r>
            <w:r w:rsidR="00EF1C50">
              <w:rPr>
                <w:sz w:val="18"/>
                <w:szCs w:val="18"/>
              </w:rPr>
              <w:t>e</w:t>
            </w:r>
            <w:r w:rsidRPr="004E3F12">
              <w:rPr>
                <w:sz w:val="18"/>
                <w:szCs w:val="18"/>
              </w:rPr>
              <w:t xml:space="preserve"> focusing on ‘inclusive, sustainable growth’ as a key trajectory for the smallholder sector, this does not refer to growing numbers of smallholders, or to keeping smallholders as smallholders. It rather takes a </w:t>
            </w:r>
            <w:r w:rsidRPr="004E3F12">
              <w:rPr>
                <w:b/>
                <w:sz w:val="18"/>
                <w:szCs w:val="18"/>
              </w:rPr>
              <w:t>smallholder-centred approach</w:t>
            </w:r>
            <w:r w:rsidRPr="004E3F12">
              <w:rPr>
                <w:sz w:val="18"/>
                <w:szCs w:val="18"/>
              </w:rPr>
              <w:t xml:space="preserve"> to livestock development with an emphasis on </w:t>
            </w:r>
            <w:r w:rsidRPr="004E3F12">
              <w:rPr>
                <w:b/>
                <w:sz w:val="18"/>
                <w:szCs w:val="18"/>
              </w:rPr>
              <w:t xml:space="preserve">productivity growth </w:t>
            </w:r>
            <w:r w:rsidRPr="004E3F12">
              <w:rPr>
                <w:sz w:val="18"/>
                <w:szCs w:val="18"/>
              </w:rPr>
              <w:t xml:space="preserve">as part of recognising that transition of today’s smallholders in the context of responding to livestock product demand is a significant </w:t>
            </w:r>
            <w:r w:rsidRPr="00EF1C50">
              <w:rPr>
                <w:sz w:val="18"/>
                <w:szCs w:val="18"/>
              </w:rPr>
              <w:t xml:space="preserve">opportunity to ensure a positive transition for livelihoods, the environment and health. </w:t>
            </w:r>
          </w:p>
          <w:p w14:paraId="0B0E1B71" w14:textId="77777777" w:rsidR="00EF1C50" w:rsidRDefault="00EF1C50" w:rsidP="004E3F12">
            <w:pPr>
              <w:rPr>
                <w:sz w:val="18"/>
                <w:szCs w:val="18"/>
              </w:rPr>
            </w:pPr>
          </w:p>
          <w:p w14:paraId="31B09C3D" w14:textId="77777777" w:rsidR="000674F5" w:rsidRDefault="004E3F12" w:rsidP="004E3F12">
            <w:pPr>
              <w:rPr>
                <w:sz w:val="18"/>
                <w:szCs w:val="18"/>
              </w:rPr>
            </w:pPr>
            <w:r w:rsidRPr="000674F5">
              <w:rPr>
                <w:sz w:val="18"/>
                <w:szCs w:val="18"/>
              </w:rPr>
              <w:t>This approach is supported by findings and recommendations of the ISPC Foresight Study on Urbanization and Farm Size</w:t>
            </w:r>
            <w:r w:rsidR="0040433C" w:rsidRPr="000674F5">
              <w:rPr>
                <w:sz w:val="18"/>
                <w:szCs w:val="18"/>
              </w:rPr>
              <w:t xml:space="preserve"> which explicitly “recommends a research program facilitating the entire pathway from subsistence/transition farming to either intensification or diversification and continuing to large farms”</w:t>
            </w:r>
            <w:r w:rsidRPr="000674F5">
              <w:rPr>
                <w:sz w:val="18"/>
                <w:szCs w:val="18"/>
              </w:rPr>
              <w:t xml:space="preserve"> (Haan</w:t>
            </w:r>
            <w:r w:rsidRPr="00EF1C50">
              <w:rPr>
                <w:sz w:val="18"/>
                <w:szCs w:val="18"/>
              </w:rPr>
              <w:t xml:space="preserve">, 2013). </w:t>
            </w:r>
          </w:p>
          <w:p w14:paraId="00D6B0B4" w14:textId="77777777" w:rsidR="000674F5" w:rsidRDefault="000674F5" w:rsidP="004E3F12">
            <w:pPr>
              <w:rPr>
                <w:sz w:val="18"/>
                <w:szCs w:val="18"/>
              </w:rPr>
            </w:pPr>
          </w:p>
          <w:p w14:paraId="471423E1" w14:textId="1B668CC6" w:rsidR="004E3F12" w:rsidRPr="00EF1C50" w:rsidRDefault="004E3F12" w:rsidP="004E3F12">
            <w:pPr>
              <w:rPr>
                <w:sz w:val="18"/>
                <w:szCs w:val="18"/>
              </w:rPr>
            </w:pPr>
            <w:r w:rsidRPr="00EF1C50">
              <w:rPr>
                <w:sz w:val="18"/>
                <w:szCs w:val="18"/>
              </w:rPr>
              <w:t>The rationale for this follows below</w:t>
            </w:r>
            <w:r w:rsidR="000674F5">
              <w:rPr>
                <w:sz w:val="18"/>
                <w:szCs w:val="18"/>
              </w:rPr>
              <w:t>. E</w:t>
            </w:r>
            <w:r w:rsidRPr="00EF1C50">
              <w:rPr>
                <w:sz w:val="18"/>
                <w:szCs w:val="18"/>
              </w:rPr>
              <w:t xml:space="preserve">vidence suggests that in some cases some producers may </w:t>
            </w:r>
            <w:r w:rsidRPr="00E45B63">
              <w:rPr>
                <w:sz w:val="18"/>
                <w:szCs w:val="18"/>
              </w:rPr>
              <w:t>commercialize and scale into small enterprises and associated businesses, or may generationally exit agriculture through investing livestock-generated assets into education or remunerative enterprises</w:t>
            </w:r>
            <w:r w:rsidR="00222F50" w:rsidRPr="00E45B63">
              <w:rPr>
                <w:sz w:val="18"/>
                <w:szCs w:val="18"/>
              </w:rPr>
              <w:t xml:space="preserve"> (</w:t>
            </w:r>
            <w:r w:rsidR="00880667" w:rsidRPr="00E45B63">
              <w:rPr>
                <w:sz w:val="18"/>
                <w:szCs w:val="18"/>
              </w:rPr>
              <w:t xml:space="preserve">Kristjanson </w:t>
            </w:r>
            <w:r w:rsidR="00880667" w:rsidRPr="00E45B63">
              <w:rPr>
                <w:i/>
                <w:sz w:val="18"/>
                <w:szCs w:val="18"/>
              </w:rPr>
              <w:t xml:space="preserve">et al., </w:t>
            </w:r>
            <w:r w:rsidR="00880667" w:rsidRPr="00E45B63">
              <w:rPr>
                <w:sz w:val="18"/>
                <w:szCs w:val="18"/>
              </w:rPr>
              <w:t>2004)</w:t>
            </w:r>
            <w:r w:rsidRPr="00E45B63">
              <w:rPr>
                <w:sz w:val="18"/>
                <w:szCs w:val="18"/>
              </w:rPr>
              <w:t xml:space="preserve">.  </w:t>
            </w:r>
            <w:r w:rsidR="00222F50" w:rsidRPr="00E45B63">
              <w:rPr>
                <w:sz w:val="18"/>
                <w:szCs w:val="18"/>
              </w:rPr>
              <w:t>In Asia, this will be associated with falling rural populations and increasing farm and herd sizes; in Africa, continued increase</w:t>
            </w:r>
            <w:r w:rsidR="000674F5" w:rsidRPr="00E45B63">
              <w:rPr>
                <w:sz w:val="18"/>
                <w:szCs w:val="18"/>
              </w:rPr>
              <w:t>s</w:t>
            </w:r>
            <w:r w:rsidR="00222F50" w:rsidRPr="00E45B63">
              <w:rPr>
                <w:sz w:val="18"/>
                <w:szCs w:val="18"/>
              </w:rPr>
              <w:t xml:space="preserve"> in rural popu</w:t>
            </w:r>
            <w:r w:rsidR="003C476E" w:rsidRPr="00E45B63">
              <w:rPr>
                <w:sz w:val="18"/>
                <w:szCs w:val="18"/>
              </w:rPr>
              <w:t xml:space="preserve">lations and smaller farm sizes and </w:t>
            </w:r>
            <w:r w:rsidR="00222F50" w:rsidRPr="00E45B63">
              <w:rPr>
                <w:sz w:val="18"/>
                <w:szCs w:val="18"/>
              </w:rPr>
              <w:t xml:space="preserve">increasing herd sizes will be the driver (Masters </w:t>
            </w:r>
            <w:r w:rsidR="00222F50" w:rsidRPr="00E45B63">
              <w:rPr>
                <w:i/>
                <w:sz w:val="18"/>
                <w:szCs w:val="18"/>
              </w:rPr>
              <w:t>et al</w:t>
            </w:r>
            <w:r w:rsidR="00222F50" w:rsidRPr="00E45B63">
              <w:rPr>
                <w:sz w:val="18"/>
                <w:szCs w:val="18"/>
              </w:rPr>
              <w:t xml:space="preserve">., 2013). </w:t>
            </w:r>
            <w:r w:rsidRPr="00E45B63">
              <w:rPr>
                <w:sz w:val="18"/>
                <w:szCs w:val="18"/>
              </w:rPr>
              <w:t>The result</w:t>
            </w:r>
            <w:r w:rsidR="00B965AB" w:rsidRPr="00E45B63">
              <w:rPr>
                <w:sz w:val="18"/>
                <w:szCs w:val="18"/>
              </w:rPr>
              <w:t>s are</w:t>
            </w:r>
            <w:r w:rsidR="0077659B" w:rsidRPr="00E45B63">
              <w:rPr>
                <w:sz w:val="18"/>
                <w:szCs w:val="18"/>
              </w:rPr>
              <w:t xml:space="preserve"> unlikely to be</w:t>
            </w:r>
            <w:r w:rsidRPr="00E45B63">
              <w:rPr>
                <w:sz w:val="18"/>
                <w:szCs w:val="18"/>
              </w:rPr>
              <w:t xml:space="preserve"> growth in smallholder numbers in all settings</w:t>
            </w:r>
            <w:r w:rsidR="003C476E" w:rsidRPr="00E45B63">
              <w:rPr>
                <w:sz w:val="18"/>
                <w:szCs w:val="18"/>
              </w:rPr>
              <w:t xml:space="preserve"> </w:t>
            </w:r>
            <w:r w:rsidR="00B965AB" w:rsidRPr="00E45B63">
              <w:rPr>
                <w:sz w:val="18"/>
                <w:szCs w:val="18"/>
              </w:rPr>
              <w:t>but they</w:t>
            </w:r>
            <w:r w:rsidR="003C476E" w:rsidRPr="00E45B63">
              <w:rPr>
                <w:sz w:val="18"/>
                <w:szCs w:val="18"/>
              </w:rPr>
              <w:t xml:space="preserve"> will drive labo</w:t>
            </w:r>
            <w:r w:rsidR="000674F5" w:rsidRPr="00E45B63">
              <w:rPr>
                <w:sz w:val="18"/>
                <w:szCs w:val="18"/>
              </w:rPr>
              <w:t>u</w:t>
            </w:r>
            <w:r w:rsidR="003C476E" w:rsidRPr="00E45B63">
              <w:rPr>
                <w:sz w:val="18"/>
                <w:szCs w:val="18"/>
              </w:rPr>
              <w:t>r-saving innovation and intensification.</w:t>
            </w:r>
            <w:r w:rsidR="0077659B" w:rsidRPr="00E45B63">
              <w:rPr>
                <w:sz w:val="18"/>
                <w:szCs w:val="18"/>
              </w:rPr>
              <w:t xml:space="preserve"> </w:t>
            </w:r>
            <w:r w:rsidRPr="00E45B63">
              <w:rPr>
                <w:sz w:val="18"/>
                <w:szCs w:val="18"/>
              </w:rPr>
              <w:t>Furthermore, associated with smallholder productivity growth is the expansion of employment and opportunities for SMSE as value chains develop, and particularly for youth and women.</w:t>
            </w:r>
            <w:r w:rsidRPr="00EF1C50">
              <w:rPr>
                <w:sz w:val="18"/>
                <w:szCs w:val="18"/>
              </w:rPr>
              <w:t xml:space="preserve">  </w:t>
            </w:r>
          </w:p>
          <w:p w14:paraId="6AB14354" w14:textId="77777777" w:rsidR="004E3F12" w:rsidRPr="00EF1C50" w:rsidRDefault="004E3F12" w:rsidP="004E3F12">
            <w:pPr>
              <w:rPr>
                <w:sz w:val="18"/>
                <w:szCs w:val="18"/>
              </w:rPr>
            </w:pPr>
          </w:p>
          <w:p w14:paraId="2D70F07E" w14:textId="728346B1" w:rsidR="004E3F12" w:rsidRPr="004E3F12" w:rsidRDefault="004E3F12" w:rsidP="004E3F12">
            <w:pPr>
              <w:rPr>
                <w:sz w:val="18"/>
                <w:szCs w:val="18"/>
              </w:rPr>
            </w:pPr>
            <w:r w:rsidRPr="00EF1C50">
              <w:rPr>
                <w:sz w:val="18"/>
                <w:szCs w:val="18"/>
              </w:rPr>
              <w:t>It is worth noting that a focus on smallholders does not preclude engagement with larger producers and enterprises who may leverage or stimulate innovation and services for smallholders. A key opportunity for the CRP is to interact with the private sector, identifying lessons it can provide for incorporating smallholders into markets, and conversely offering the private sector inclusive and gender responsive business strategies. Evidence</w:t>
            </w:r>
            <w:r w:rsidRPr="004E3F12">
              <w:rPr>
                <w:sz w:val="18"/>
                <w:szCs w:val="18"/>
              </w:rPr>
              <w:t xml:space="preserve"> of this is seen in the recently concluded East Africa Dairy Development </w:t>
            </w:r>
            <w:r w:rsidRPr="009A3389">
              <w:rPr>
                <w:sz w:val="18"/>
                <w:szCs w:val="18"/>
              </w:rPr>
              <w:t>project (</w:t>
            </w:r>
            <w:hyperlink r:id="rId10" w:tgtFrame="_blank" w:history="1">
              <w:r w:rsidR="009A3389" w:rsidRPr="009A3389">
                <w:rPr>
                  <w:rStyle w:val="Hyperlink"/>
                  <w:sz w:val="18"/>
                  <w:szCs w:val="18"/>
                </w:rPr>
                <w:t>www.heifer.org/eadd</w:t>
              </w:r>
            </w:hyperlink>
            <w:r w:rsidR="009A3389">
              <w:rPr>
                <w:sz w:val="18"/>
                <w:szCs w:val="18"/>
              </w:rPr>
              <w:t>)</w:t>
            </w:r>
            <w:r w:rsidRPr="009A3389">
              <w:rPr>
                <w:sz w:val="18"/>
                <w:szCs w:val="18"/>
              </w:rPr>
              <w:t xml:space="preserve"> and the Dairy Genetics East</w:t>
            </w:r>
            <w:r w:rsidRPr="004E3F12">
              <w:rPr>
                <w:sz w:val="18"/>
                <w:szCs w:val="18"/>
              </w:rPr>
              <w:t xml:space="preserve"> Africa project where large scale producers/investors were engaged in the development of business models benefiting smallholders. </w:t>
            </w:r>
          </w:p>
          <w:p w14:paraId="60C6D8BB" w14:textId="77777777" w:rsidR="004E3F12" w:rsidRPr="004E3F12" w:rsidRDefault="004E3F12" w:rsidP="004E3F12">
            <w:pPr>
              <w:rPr>
                <w:sz w:val="18"/>
                <w:szCs w:val="18"/>
              </w:rPr>
            </w:pPr>
          </w:p>
          <w:p w14:paraId="4775584C" w14:textId="686E84C4" w:rsidR="004E3F12" w:rsidRPr="002859F6" w:rsidRDefault="004E3F12" w:rsidP="004E3F12">
            <w:pPr>
              <w:rPr>
                <w:sz w:val="18"/>
                <w:szCs w:val="18"/>
              </w:rPr>
            </w:pPr>
            <w:r w:rsidRPr="004E3F12">
              <w:rPr>
                <w:sz w:val="18"/>
                <w:szCs w:val="18"/>
              </w:rPr>
              <w:t xml:space="preserve">The evidence for taking a smallholder-centred approach to achieve the CRP’s objective, and thus, the SLOs, is substantial and presumably informed the smallholder focus in the SRF goal statement.  </w:t>
            </w:r>
            <w:r w:rsidRPr="002859F6">
              <w:rPr>
                <w:sz w:val="18"/>
                <w:szCs w:val="18"/>
              </w:rPr>
              <w:t xml:space="preserve">The continued role of smallholders and pastoralists in providing the bulk of livestock products particularly in SSA and much of Asia </w:t>
            </w:r>
            <w:r w:rsidRPr="002859F6">
              <w:rPr>
                <w:sz w:val="18"/>
                <w:szCs w:val="18"/>
              </w:rPr>
              <w:lastRenderedPageBreak/>
              <w:t>now and for th</w:t>
            </w:r>
            <w:r w:rsidR="00A33DE0" w:rsidRPr="002859F6">
              <w:rPr>
                <w:sz w:val="18"/>
                <w:szCs w:val="18"/>
              </w:rPr>
              <w:t xml:space="preserve">e coming decades is indisputable, as </w:t>
            </w:r>
            <w:r w:rsidR="00010B87" w:rsidRPr="002859F6">
              <w:rPr>
                <w:sz w:val="18"/>
                <w:szCs w:val="18"/>
              </w:rPr>
              <w:t>concluded</w:t>
            </w:r>
            <w:r w:rsidR="00A33DE0" w:rsidRPr="002859F6">
              <w:rPr>
                <w:sz w:val="18"/>
                <w:szCs w:val="18"/>
              </w:rPr>
              <w:t xml:space="preserve"> in </w:t>
            </w:r>
            <w:r w:rsidR="00010B87" w:rsidRPr="002859F6">
              <w:rPr>
                <w:sz w:val="18"/>
                <w:szCs w:val="18"/>
              </w:rPr>
              <w:t>a recent</w:t>
            </w:r>
            <w:r w:rsidR="00A33DE0" w:rsidRPr="002859F6">
              <w:rPr>
                <w:sz w:val="18"/>
                <w:szCs w:val="18"/>
              </w:rPr>
              <w:t xml:space="preserve"> ISPC study: “smallholder livestock farming will most likely remain for some time to come the main supplier of meat and milk in South Asia and sub-Saharan Africa” (Haan, 2013</w:t>
            </w:r>
            <w:r w:rsidR="002859F6" w:rsidRPr="002859F6">
              <w:rPr>
                <w:sz w:val="18"/>
                <w:szCs w:val="18"/>
              </w:rPr>
              <w:t xml:space="preserve">: </w:t>
            </w:r>
            <w:r w:rsidR="00A33DE0" w:rsidRPr="002859F6">
              <w:rPr>
                <w:sz w:val="18"/>
                <w:szCs w:val="18"/>
              </w:rPr>
              <w:t>2)</w:t>
            </w:r>
            <w:r w:rsidRPr="002859F6">
              <w:rPr>
                <w:sz w:val="18"/>
                <w:szCs w:val="18"/>
              </w:rPr>
              <w:t>.  Some examples of the evidence:</w:t>
            </w:r>
          </w:p>
          <w:p w14:paraId="7BC937B1" w14:textId="1A0B73E0" w:rsidR="004E3F12" w:rsidRPr="004E3F12" w:rsidRDefault="004E3F12" w:rsidP="004E3F12">
            <w:pPr>
              <w:pStyle w:val="ListParagraph"/>
              <w:numPr>
                <w:ilvl w:val="0"/>
                <w:numId w:val="23"/>
              </w:numPr>
              <w:rPr>
                <w:sz w:val="18"/>
                <w:szCs w:val="18"/>
              </w:rPr>
            </w:pPr>
            <w:r w:rsidRPr="002859F6">
              <w:rPr>
                <w:sz w:val="18"/>
                <w:szCs w:val="18"/>
              </w:rPr>
              <w:t>The more than 70 million smallholder dairy farmers</w:t>
            </w:r>
            <w:r w:rsidRPr="004E3F12">
              <w:rPr>
                <w:sz w:val="18"/>
                <w:szCs w:val="18"/>
              </w:rPr>
              <w:t xml:space="preserve"> in India produce more milk than all North American farmers put together (</w:t>
            </w:r>
            <w:proofErr w:type="spellStart"/>
            <w:r w:rsidRPr="004E3F12">
              <w:rPr>
                <w:sz w:val="18"/>
                <w:szCs w:val="18"/>
              </w:rPr>
              <w:t>Hemme</w:t>
            </w:r>
            <w:proofErr w:type="spellEnd"/>
            <w:r w:rsidRPr="004E3F12">
              <w:rPr>
                <w:sz w:val="18"/>
                <w:szCs w:val="18"/>
              </w:rPr>
              <w:t xml:space="preserve"> </w:t>
            </w:r>
            <w:r w:rsidRPr="0077659B">
              <w:rPr>
                <w:i/>
                <w:sz w:val="18"/>
                <w:szCs w:val="18"/>
              </w:rPr>
              <w:t>et al</w:t>
            </w:r>
            <w:r w:rsidR="0077659B">
              <w:rPr>
                <w:sz w:val="18"/>
                <w:szCs w:val="18"/>
              </w:rPr>
              <w:t>.</w:t>
            </w:r>
            <w:r w:rsidRPr="004E3F12">
              <w:rPr>
                <w:sz w:val="18"/>
                <w:szCs w:val="18"/>
              </w:rPr>
              <w:t xml:space="preserve">, 2015).  </w:t>
            </w:r>
          </w:p>
          <w:p w14:paraId="716A8A91" w14:textId="77777777" w:rsidR="004E3F12" w:rsidRPr="004E3F12" w:rsidRDefault="004E3F12" w:rsidP="004E3F12">
            <w:pPr>
              <w:pStyle w:val="ListParagraph"/>
              <w:numPr>
                <w:ilvl w:val="0"/>
                <w:numId w:val="23"/>
              </w:numPr>
              <w:rPr>
                <w:sz w:val="18"/>
                <w:szCs w:val="18"/>
              </w:rPr>
            </w:pPr>
            <w:r w:rsidRPr="004E3F12">
              <w:rPr>
                <w:sz w:val="18"/>
                <w:szCs w:val="18"/>
              </w:rPr>
              <w:t xml:space="preserve">In rapidly developing Vietnam, small- to medium-sized pig producers supply some 95% of the pork consumed, and projections have shown that, even under the most optimistic investment scenarios, industrial production systems will not provide the majority share for decades (Lapar </w:t>
            </w:r>
            <w:r w:rsidRPr="004E3F12">
              <w:rPr>
                <w:i/>
                <w:sz w:val="18"/>
                <w:szCs w:val="18"/>
              </w:rPr>
              <w:t>et al.,</w:t>
            </w:r>
            <w:r w:rsidRPr="004E3F12">
              <w:rPr>
                <w:sz w:val="18"/>
                <w:szCs w:val="18"/>
              </w:rPr>
              <w:t xml:space="preserve"> 2012).  </w:t>
            </w:r>
          </w:p>
          <w:p w14:paraId="1F52D3E4" w14:textId="383BC1EC" w:rsidR="004E3F12" w:rsidRPr="004E3F12" w:rsidRDefault="004E3F12" w:rsidP="004E3F12">
            <w:pPr>
              <w:pStyle w:val="ListParagraph"/>
              <w:numPr>
                <w:ilvl w:val="0"/>
                <w:numId w:val="23"/>
              </w:numPr>
              <w:rPr>
                <w:sz w:val="18"/>
                <w:szCs w:val="18"/>
              </w:rPr>
            </w:pPr>
            <w:r w:rsidRPr="004E3F12">
              <w:rPr>
                <w:sz w:val="18"/>
                <w:szCs w:val="18"/>
              </w:rPr>
              <w:t>The continued dominance of smallholders is due in large part to the fact that smallholders continue to be competitive compared to large producers in low-wage settings, particularly in ruminant production, and there is little evidence of economies of scale in production in many systems (</w:t>
            </w:r>
            <w:proofErr w:type="spellStart"/>
            <w:r w:rsidRPr="004E3F12">
              <w:rPr>
                <w:sz w:val="18"/>
                <w:szCs w:val="18"/>
              </w:rPr>
              <w:t>Hemme</w:t>
            </w:r>
            <w:proofErr w:type="spellEnd"/>
            <w:r w:rsidRPr="004E3F12">
              <w:rPr>
                <w:sz w:val="18"/>
                <w:szCs w:val="18"/>
              </w:rPr>
              <w:t xml:space="preserve"> </w:t>
            </w:r>
            <w:r w:rsidRPr="004E3F12">
              <w:rPr>
                <w:i/>
                <w:sz w:val="18"/>
                <w:szCs w:val="18"/>
              </w:rPr>
              <w:t>et al.,</w:t>
            </w:r>
            <w:r w:rsidRPr="004E3F12">
              <w:rPr>
                <w:sz w:val="18"/>
                <w:szCs w:val="18"/>
              </w:rPr>
              <w:t xml:space="preserve"> 2014</w:t>
            </w:r>
            <w:r w:rsidRPr="004E3F12">
              <w:rPr>
                <w:b/>
                <w:sz w:val="18"/>
                <w:szCs w:val="18"/>
              </w:rPr>
              <w:t>;</w:t>
            </w:r>
            <w:r w:rsidRPr="004E3F12">
              <w:rPr>
                <w:sz w:val="18"/>
                <w:szCs w:val="18"/>
              </w:rPr>
              <w:t xml:space="preserve"> Sharma et al., 2003), largely because of utilization of low cost farm resources and family labo</w:t>
            </w:r>
            <w:r w:rsidR="0077659B">
              <w:rPr>
                <w:sz w:val="18"/>
                <w:szCs w:val="18"/>
              </w:rPr>
              <w:t>u</w:t>
            </w:r>
            <w:r w:rsidRPr="004E3F12">
              <w:rPr>
                <w:sz w:val="18"/>
                <w:szCs w:val="18"/>
              </w:rPr>
              <w:t>r.</w:t>
            </w:r>
          </w:p>
          <w:p w14:paraId="47978501" w14:textId="77777777" w:rsidR="004E3F12" w:rsidRPr="004E3F12" w:rsidRDefault="004E3F12" w:rsidP="004E3F12">
            <w:pPr>
              <w:rPr>
                <w:sz w:val="18"/>
                <w:szCs w:val="18"/>
              </w:rPr>
            </w:pPr>
          </w:p>
          <w:p w14:paraId="1AD65387" w14:textId="4ADA6AB0" w:rsidR="004E3F12" w:rsidRPr="00EF1C50" w:rsidRDefault="004E3F12" w:rsidP="004E3F12">
            <w:pPr>
              <w:rPr>
                <w:sz w:val="18"/>
                <w:szCs w:val="18"/>
              </w:rPr>
            </w:pPr>
            <w:r w:rsidRPr="004E3F12">
              <w:rPr>
                <w:sz w:val="18"/>
                <w:szCs w:val="18"/>
              </w:rPr>
              <w:t xml:space="preserve">The rationale is thus very simple: in order to increase availability of animal source foods requires an increase in the productivity and performance of those who are the core providers of that supply particularly since large scale production remains so constrained (with the exception of some </w:t>
            </w:r>
            <w:proofErr w:type="spellStart"/>
            <w:r w:rsidRPr="004E3F12">
              <w:rPr>
                <w:sz w:val="18"/>
                <w:szCs w:val="18"/>
              </w:rPr>
              <w:t>monogastric</w:t>
            </w:r>
            <w:proofErr w:type="spellEnd"/>
            <w:r w:rsidRPr="004E3F12">
              <w:rPr>
                <w:sz w:val="18"/>
                <w:szCs w:val="18"/>
              </w:rPr>
              <w:t xml:space="preserve"> systems).  Supply response cannot be impacted </w:t>
            </w:r>
            <w:r w:rsidR="0077659B">
              <w:rPr>
                <w:sz w:val="18"/>
                <w:szCs w:val="18"/>
              </w:rPr>
              <w:t>without a smallholder-</w:t>
            </w:r>
            <w:r w:rsidRPr="00EF1C50">
              <w:rPr>
                <w:sz w:val="18"/>
                <w:szCs w:val="18"/>
              </w:rPr>
              <w:t>centred approach.</w:t>
            </w:r>
          </w:p>
          <w:p w14:paraId="2B4F258E" w14:textId="77777777" w:rsidR="004E3F12" w:rsidRPr="00EF1C50" w:rsidRDefault="004E3F12" w:rsidP="004E3F12">
            <w:pPr>
              <w:rPr>
                <w:sz w:val="18"/>
                <w:szCs w:val="18"/>
              </w:rPr>
            </w:pPr>
          </w:p>
          <w:p w14:paraId="16608551" w14:textId="274F1CF2" w:rsidR="004E3F12" w:rsidRPr="004E3F12" w:rsidRDefault="004E3F12" w:rsidP="004E3F12">
            <w:pPr>
              <w:rPr>
                <w:sz w:val="18"/>
                <w:szCs w:val="18"/>
              </w:rPr>
            </w:pPr>
            <w:r w:rsidRPr="00EF1C50">
              <w:rPr>
                <w:sz w:val="18"/>
                <w:szCs w:val="18"/>
              </w:rPr>
              <w:t xml:space="preserve">In addition, as evidenced in the text of </w:t>
            </w:r>
            <w:r w:rsidR="0080437D">
              <w:rPr>
                <w:sz w:val="18"/>
                <w:szCs w:val="18"/>
              </w:rPr>
              <w:t>the LLAFS flagship</w:t>
            </w:r>
            <w:r w:rsidRPr="00EF1C50">
              <w:rPr>
                <w:sz w:val="18"/>
                <w:szCs w:val="18"/>
              </w:rPr>
              <w:t>, livestock systems provide important, multiple and sometimes unique livelihood and asset opportunities for the rural poor, including the landless, for women and potentially for young people such as those that improved poultry might offer.  To best contribute to the SLO related to poverty reduction, necessitates working with the smallholders who depend so heavily on livestock.</w:t>
            </w:r>
          </w:p>
          <w:p w14:paraId="0FE727E8" w14:textId="77777777" w:rsidR="004E3F12" w:rsidRPr="004E3F12" w:rsidRDefault="004E3F12" w:rsidP="004E3F12">
            <w:pPr>
              <w:rPr>
                <w:sz w:val="18"/>
                <w:szCs w:val="18"/>
              </w:rPr>
            </w:pPr>
          </w:p>
          <w:p w14:paraId="31F29A97" w14:textId="77777777" w:rsidR="004E3F12" w:rsidRPr="004E3F12" w:rsidRDefault="004E3F12" w:rsidP="004E3F12">
            <w:pPr>
              <w:rPr>
                <w:sz w:val="18"/>
                <w:szCs w:val="18"/>
              </w:rPr>
            </w:pPr>
            <w:r w:rsidRPr="004E3F12">
              <w:rPr>
                <w:sz w:val="18"/>
                <w:szCs w:val="18"/>
              </w:rPr>
              <w:t xml:space="preserve">A smallholder-centred approach is thus required for both a) increasing supply of ASFs (and increase food security), and b) reducing poverty in livestock depending communities.  It simultaneously presents opportunities to address environmental and human health issues as part of a positive sector transition.  </w:t>
            </w:r>
          </w:p>
          <w:p w14:paraId="43216C3F" w14:textId="77777777" w:rsidR="004E3F12" w:rsidRPr="004E3F12" w:rsidRDefault="004E3F12" w:rsidP="004E3F12">
            <w:pPr>
              <w:rPr>
                <w:sz w:val="18"/>
                <w:szCs w:val="18"/>
              </w:rPr>
            </w:pPr>
          </w:p>
          <w:p w14:paraId="74427B1C" w14:textId="27678A3D" w:rsidR="004E3F12" w:rsidRPr="004E3F12" w:rsidRDefault="004E3F12" w:rsidP="004E3F12">
            <w:pPr>
              <w:rPr>
                <w:sz w:val="18"/>
                <w:szCs w:val="18"/>
              </w:rPr>
            </w:pPr>
            <w:r w:rsidRPr="004E3F12">
              <w:rPr>
                <w:sz w:val="18"/>
                <w:szCs w:val="18"/>
              </w:rPr>
              <w:t>The CRP recognises that the environment in which all those involved in the livestock sector operate will change as the various scenarios to respond to demand unfold and business opportunities are exploited by the private sector at all levels of scale.  Understanding and monitoring the influence of such changes will form part of the foresight studies, initially in cluster 1 of</w:t>
            </w:r>
            <w:r w:rsidR="00E45B63">
              <w:rPr>
                <w:sz w:val="18"/>
                <w:szCs w:val="18"/>
              </w:rPr>
              <w:t xml:space="preserve"> the LAFS flagship</w:t>
            </w:r>
            <w:r w:rsidRPr="004E3F12">
              <w:rPr>
                <w:sz w:val="18"/>
                <w:szCs w:val="18"/>
              </w:rPr>
              <w:t>.</w:t>
            </w:r>
          </w:p>
          <w:p w14:paraId="75AE7C3E" w14:textId="77777777" w:rsidR="008146C0" w:rsidRPr="004E3F12" w:rsidRDefault="008146C0" w:rsidP="00F04D52">
            <w:pPr>
              <w:rPr>
                <w:sz w:val="18"/>
                <w:szCs w:val="18"/>
              </w:rPr>
            </w:pPr>
          </w:p>
          <w:p w14:paraId="3579D34A" w14:textId="77777777" w:rsidR="004E3F12" w:rsidRPr="004E3F12" w:rsidRDefault="004E3F12" w:rsidP="00F04D52">
            <w:pPr>
              <w:rPr>
                <w:sz w:val="18"/>
                <w:szCs w:val="18"/>
              </w:rPr>
            </w:pPr>
            <w:r w:rsidRPr="004E3F12">
              <w:rPr>
                <w:sz w:val="18"/>
                <w:szCs w:val="18"/>
              </w:rPr>
              <w:t>References:</w:t>
            </w:r>
          </w:p>
          <w:p w14:paraId="1DAB89F0" w14:textId="77777777" w:rsidR="004E3F12" w:rsidRPr="004E3F12" w:rsidRDefault="004E3F12" w:rsidP="00F04D52">
            <w:pPr>
              <w:rPr>
                <w:sz w:val="18"/>
                <w:szCs w:val="18"/>
              </w:rPr>
            </w:pPr>
          </w:p>
          <w:p w14:paraId="7090E198" w14:textId="77777777" w:rsidR="008146C0" w:rsidRPr="00E45B63" w:rsidRDefault="008146C0" w:rsidP="00F04D52">
            <w:pPr>
              <w:rPr>
                <w:sz w:val="18"/>
                <w:szCs w:val="18"/>
              </w:rPr>
            </w:pPr>
            <w:r w:rsidRPr="00E45B63">
              <w:rPr>
                <w:sz w:val="18"/>
                <w:szCs w:val="18"/>
              </w:rPr>
              <w:t>Haan, C. de. 2013. Urbanization and farm size changes in Africa and Asia: Implications for livestock research. Rome: CGIAR Independent Science and Partnership Council</w:t>
            </w:r>
            <w:r w:rsidR="00E45B63" w:rsidRPr="00E45B63">
              <w:rPr>
                <w:sz w:val="18"/>
                <w:szCs w:val="18"/>
              </w:rPr>
              <w:t>.</w:t>
            </w:r>
          </w:p>
          <w:p w14:paraId="51698C7C" w14:textId="77777777" w:rsidR="00E45B63" w:rsidRPr="00E45B63" w:rsidRDefault="00E45B63" w:rsidP="00F04D52">
            <w:pPr>
              <w:rPr>
                <w:sz w:val="18"/>
                <w:szCs w:val="18"/>
              </w:rPr>
            </w:pPr>
          </w:p>
          <w:p w14:paraId="21AB3C7A" w14:textId="4F5F3BB5" w:rsidR="00E45B63" w:rsidRPr="00E45B63" w:rsidRDefault="00E45B63" w:rsidP="00E45B63">
            <w:pPr>
              <w:rPr>
                <w:sz w:val="18"/>
                <w:szCs w:val="18"/>
              </w:rPr>
            </w:pPr>
            <w:r w:rsidRPr="00E45B63">
              <w:rPr>
                <w:sz w:val="18"/>
                <w:szCs w:val="18"/>
              </w:rPr>
              <w:lastRenderedPageBreak/>
              <w:t xml:space="preserve">Kristjanson, P., </w:t>
            </w:r>
            <w:proofErr w:type="spellStart"/>
            <w:r w:rsidRPr="00E45B63">
              <w:rPr>
                <w:sz w:val="18"/>
                <w:szCs w:val="18"/>
              </w:rPr>
              <w:t>Krishna</w:t>
            </w:r>
            <w:proofErr w:type="gramStart"/>
            <w:r w:rsidRPr="00E45B63">
              <w:rPr>
                <w:sz w:val="18"/>
                <w:szCs w:val="18"/>
              </w:rPr>
              <w:t>,A</w:t>
            </w:r>
            <w:proofErr w:type="spellEnd"/>
            <w:proofErr w:type="gramEnd"/>
            <w:r w:rsidRPr="00E45B63">
              <w:rPr>
                <w:sz w:val="18"/>
                <w:szCs w:val="18"/>
              </w:rPr>
              <w:t xml:space="preserve">., Radeny, M. and </w:t>
            </w:r>
            <w:proofErr w:type="spellStart"/>
            <w:r w:rsidRPr="00E45B63">
              <w:rPr>
                <w:sz w:val="18"/>
                <w:szCs w:val="18"/>
              </w:rPr>
              <w:t>Nindo</w:t>
            </w:r>
            <w:proofErr w:type="spellEnd"/>
            <w:r w:rsidRPr="00E45B63">
              <w:rPr>
                <w:sz w:val="18"/>
                <w:szCs w:val="18"/>
              </w:rPr>
              <w:t>, W. 2004. Pathways out of poverty in Western Kenya and the role of livestock. Working Paper 14. Pro-Poor Livestock Policy Initiative. Rome: FAO.</w:t>
            </w:r>
          </w:p>
          <w:p w14:paraId="413BE04C" w14:textId="77777777" w:rsidR="00E45B63" w:rsidRPr="00E45B63" w:rsidRDefault="00E45B63" w:rsidP="00E45B63">
            <w:pPr>
              <w:rPr>
                <w:sz w:val="18"/>
                <w:szCs w:val="18"/>
              </w:rPr>
            </w:pPr>
          </w:p>
          <w:p w14:paraId="6C7EF441" w14:textId="380FD6C3" w:rsidR="00E45B63" w:rsidRPr="004E3F12" w:rsidRDefault="00E45B63" w:rsidP="00F04D52">
            <w:pPr>
              <w:rPr>
                <w:sz w:val="18"/>
                <w:szCs w:val="18"/>
              </w:rPr>
            </w:pPr>
            <w:r w:rsidRPr="00E45B63">
              <w:rPr>
                <w:sz w:val="18"/>
                <w:szCs w:val="18"/>
              </w:rPr>
              <w:t>Masters</w:t>
            </w:r>
            <w:r>
              <w:rPr>
                <w:sz w:val="18"/>
                <w:szCs w:val="18"/>
              </w:rPr>
              <w:t>,</w:t>
            </w:r>
            <w:r w:rsidRPr="00E45B63">
              <w:rPr>
                <w:sz w:val="18"/>
                <w:szCs w:val="18"/>
              </w:rPr>
              <w:t xml:space="preserve"> W</w:t>
            </w:r>
            <w:r>
              <w:rPr>
                <w:sz w:val="18"/>
                <w:szCs w:val="18"/>
              </w:rPr>
              <w:t>.</w:t>
            </w:r>
            <w:r w:rsidRPr="00E45B63">
              <w:rPr>
                <w:sz w:val="18"/>
                <w:szCs w:val="18"/>
              </w:rPr>
              <w:t>A</w:t>
            </w:r>
            <w:r>
              <w:rPr>
                <w:sz w:val="18"/>
                <w:szCs w:val="18"/>
              </w:rPr>
              <w:t>.</w:t>
            </w:r>
            <w:r w:rsidRPr="00E45B63">
              <w:rPr>
                <w:sz w:val="18"/>
                <w:szCs w:val="18"/>
              </w:rPr>
              <w:t xml:space="preserve">, </w:t>
            </w:r>
            <w:proofErr w:type="spellStart"/>
            <w:r w:rsidRPr="00E45B63">
              <w:rPr>
                <w:sz w:val="18"/>
                <w:szCs w:val="18"/>
              </w:rPr>
              <w:t>Djurfeldt</w:t>
            </w:r>
            <w:proofErr w:type="spellEnd"/>
            <w:r w:rsidRPr="00E45B63">
              <w:rPr>
                <w:sz w:val="18"/>
                <w:szCs w:val="18"/>
              </w:rPr>
              <w:t>,</w:t>
            </w:r>
            <w:r>
              <w:rPr>
                <w:sz w:val="18"/>
                <w:szCs w:val="18"/>
              </w:rPr>
              <w:t xml:space="preserve"> A.A., </w:t>
            </w:r>
            <w:r w:rsidRPr="00E45B63">
              <w:rPr>
                <w:sz w:val="18"/>
                <w:szCs w:val="18"/>
              </w:rPr>
              <w:t>Hann,</w:t>
            </w:r>
            <w:r>
              <w:rPr>
                <w:sz w:val="18"/>
                <w:szCs w:val="18"/>
              </w:rPr>
              <w:t xml:space="preserve"> C. </w:t>
            </w:r>
            <w:proofErr w:type="gramStart"/>
            <w:r>
              <w:rPr>
                <w:sz w:val="18"/>
                <w:szCs w:val="18"/>
              </w:rPr>
              <w:t>de.,</w:t>
            </w:r>
            <w:proofErr w:type="gramEnd"/>
            <w:r>
              <w:rPr>
                <w:sz w:val="18"/>
                <w:szCs w:val="18"/>
              </w:rPr>
              <w:t xml:space="preserve"> </w:t>
            </w:r>
            <w:r w:rsidRPr="00E45B63">
              <w:rPr>
                <w:sz w:val="18"/>
                <w:szCs w:val="18"/>
              </w:rPr>
              <w:t>Hazell,</w:t>
            </w:r>
            <w:r>
              <w:rPr>
                <w:sz w:val="18"/>
                <w:szCs w:val="18"/>
              </w:rPr>
              <w:t xml:space="preserve"> P., </w:t>
            </w:r>
            <w:r w:rsidRPr="00E45B63">
              <w:rPr>
                <w:sz w:val="18"/>
                <w:szCs w:val="18"/>
              </w:rPr>
              <w:t xml:space="preserve">Jayne, </w:t>
            </w:r>
            <w:r>
              <w:rPr>
                <w:sz w:val="18"/>
                <w:szCs w:val="18"/>
              </w:rPr>
              <w:t xml:space="preserve">T., </w:t>
            </w:r>
            <w:proofErr w:type="spellStart"/>
            <w:r>
              <w:rPr>
                <w:sz w:val="18"/>
                <w:szCs w:val="18"/>
              </w:rPr>
              <w:t>J</w:t>
            </w:r>
            <w:r w:rsidRPr="00E45B63">
              <w:rPr>
                <w:sz w:val="18"/>
                <w:szCs w:val="18"/>
              </w:rPr>
              <w:t>irström</w:t>
            </w:r>
            <w:proofErr w:type="spellEnd"/>
            <w:r w:rsidRPr="00E45B63">
              <w:rPr>
                <w:sz w:val="18"/>
                <w:szCs w:val="18"/>
              </w:rPr>
              <w:t xml:space="preserve">, </w:t>
            </w:r>
            <w:r>
              <w:rPr>
                <w:sz w:val="18"/>
                <w:szCs w:val="18"/>
              </w:rPr>
              <w:t xml:space="preserve">M. and </w:t>
            </w:r>
            <w:r w:rsidRPr="00E45B63">
              <w:rPr>
                <w:sz w:val="18"/>
                <w:szCs w:val="18"/>
              </w:rPr>
              <w:t>Reardon</w:t>
            </w:r>
            <w:r>
              <w:rPr>
                <w:sz w:val="18"/>
                <w:szCs w:val="18"/>
              </w:rPr>
              <w:t>, T</w:t>
            </w:r>
            <w:r w:rsidRPr="00E45B63">
              <w:rPr>
                <w:sz w:val="18"/>
                <w:szCs w:val="18"/>
              </w:rPr>
              <w:t>. 2013. Urbanization and farm size in Asia and Africa: Implications for food security and agricultural research</w:t>
            </w:r>
            <w:r>
              <w:rPr>
                <w:sz w:val="18"/>
                <w:szCs w:val="18"/>
              </w:rPr>
              <w:t xml:space="preserve">. </w:t>
            </w:r>
            <w:r w:rsidRPr="00E45B63">
              <w:rPr>
                <w:i/>
                <w:sz w:val="18"/>
                <w:szCs w:val="18"/>
              </w:rPr>
              <w:t>Global Food Security</w:t>
            </w:r>
            <w:r>
              <w:rPr>
                <w:sz w:val="18"/>
                <w:szCs w:val="18"/>
              </w:rPr>
              <w:t xml:space="preserve"> 2(3): 156-165.</w:t>
            </w:r>
            <w:r w:rsidRPr="00E45B63">
              <w:rPr>
                <w:sz w:val="18"/>
                <w:szCs w:val="18"/>
              </w:rPr>
              <w:t xml:space="preserve"> </w:t>
            </w:r>
          </w:p>
          <w:p w14:paraId="6C940478" w14:textId="33DE41D9" w:rsidR="008146C0" w:rsidRPr="004E3F12" w:rsidRDefault="008146C0" w:rsidP="00F04D52">
            <w:pPr>
              <w:rPr>
                <w:sz w:val="18"/>
                <w:szCs w:val="18"/>
              </w:rPr>
            </w:pPr>
          </w:p>
        </w:tc>
        <w:tc>
          <w:tcPr>
            <w:tcW w:w="1001" w:type="pct"/>
          </w:tcPr>
          <w:p w14:paraId="556BF3AB" w14:textId="7AFB6328" w:rsidR="009A3389" w:rsidRPr="000674F5" w:rsidRDefault="009A3389" w:rsidP="009A3389">
            <w:pPr>
              <w:rPr>
                <w:sz w:val="18"/>
                <w:szCs w:val="18"/>
              </w:rPr>
            </w:pPr>
            <w:r w:rsidRPr="000674F5">
              <w:rPr>
                <w:sz w:val="18"/>
                <w:szCs w:val="18"/>
              </w:rPr>
              <w:lastRenderedPageBreak/>
              <w:t>Several changes have been made to the overall narrative</w:t>
            </w:r>
            <w:r w:rsidR="007544FB" w:rsidRPr="000674F5">
              <w:rPr>
                <w:sz w:val="18"/>
                <w:szCs w:val="18"/>
              </w:rPr>
              <w:t xml:space="preserve"> to emphasize the role of sm</w:t>
            </w:r>
            <w:r w:rsidR="00A33DE0" w:rsidRPr="000674F5">
              <w:rPr>
                <w:sz w:val="18"/>
                <w:szCs w:val="18"/>
              </w:rPr>
              <w:t>allholder-based</w:t>
            </w:r>
            <w:r w:rsidR="007544FB" w:rsidRPr="000674F5">
              <w:rPr>
                <w:sz w:val="18"/>
                <w:szCs w:val="18"/>
              </w:rPr>
              <w:t xml:space="preserve"> systems transitioning to professional and high-growth in high growth scenarios</w:t>
            </w:r>
            <w:r w:rsidR="00A33DE0" w:rsidRPr="000674F5">
              <w:rPr>
                <w:sz w:val="18"/>
                <w:szCs w:val="18"/>
              </w:rPr>
              <w:t xml:space="preserve"> and for strengthening livestock-based resilience</w:t>
            </w:r>
            <w:r w:rsidR="007544FB" w:rsidRPr="000674F5">
              <w:rPr>
                <w:sz w:val="18"/>
                <w:szCs w:val="18"/>
              </w:rPr>
              <w:t xml:space="preserve"> (section </w:t>
            </w:r>
            <w:r w:rsidR="00A33DE0" w:rsidRPr="000674F5">
              <w:rPr>
                <w:sz w:val="18"/>
                <w:szCs w:val="18"/>
              </w:rPr>
              <w:t xml:space="preserve">1.0.1. </w:t>
            </w:r>
            <w:r w:rsidR="00B965AB">
              <w:rPr>
                <w:sz w:val="18"/>
                <w:szCs w:val="18"/>
              </w:rPr>
              <w:t>pages 2-5).</w:t>
            </w:r>
          </w:p>
          <w:p w14:paraId="707850ED" w14:textId="77777777" w:rsidR="00A33DE0" w:rsidRPr="000674F5" w:rsidRDefault="00A33DE0" w:rsidP="009A3389">
            <w:pPr>
              <w:rPr>
                <w:sz w:val="18"/>
                <w:szCs w:val="18"/>
              </w:rPr>
            </w:pPr>
          </w:p>
          <w:p w14:paraId="57EC12C6" w14:textId="5470806B" w:rsidR="007544FB" w:rsidRDefault="00A33DE0" w:rsidP="009A3389">
            <w:pPr>
              <w:rPr>
                <w:sz w:val="18"/>
                <w:szCs w:val="18"/>
              </w:rPr>
            </w:pPr>
            <w:r w:rsidRPr="000674F5">
              <w:rPr>
                <w:sz w:val="18"/>
                <w:szCs w:val="18"/>
              </w:rPr>
              <w:t xml:space="preserve">A sentence added in </w:t>
            </w:r>
            <w:r w:rsidR="000674F5" w:rsidRPr="000674F5">
              <w:rPr>
                <w:sz w:val="18"/>
                <w:szCs w:val="18"/>
              </w:rPr>
              <w:t xml:space="preserve">the </w:t>
            </w:r>
            <w:r w:rsidRPr="000674F5">
              <w:rPr>
                <w:sz w:val="18"/>
                <w:szCs w:val="18"/>
              </w:rPr>
              <w:t>opening paragraph of section 1.0.1 (p</w:t>
            </w:r>
            <w:r w:rsidR="00B965AB">
              <w:rPr>
                <w:sz w:val="18"/>
                <w:szCs w:val="18"/>
              </w:rPr>
              <w:t>age</w:t>
            </w:r>
            <w:r w:rsidRPr="000674F5">
              <w:rPr>
                <w:sz w:val="18"/>
                <w:szCs w:val="18"/>
              </w:rPr>
              <w:t xml:space="preserve"> 2) to highlight win-win-win benefits of targeting smallholder-based livestock livelihood and commodity systems </w:t>
            </w:r>
            <w:r w:rsidR="000674F5" w:rsidRPr="000674F5">
              <w:rPr>
                <w:sz w:val="18"/>
                <w:szCs w:val="18"/>
              </w:rPr>
              <w:t>to</w:t>
            </w:r>
            <w:r w:rsidRPr="000674F5">
              <w:rPr>
                <w:sz w:val="18"/>
                <w:szCs w:val="18"/>
              </w:rPr>
              <w:t xml:space="preserve"> address all three SLOs.</w:t>
            </w:r>
          </w:p>
          <w:p w14:paraId="1E990F73" w14:textId="77777777" w:rsidR="00F04D52" w:rsidRPr="004E3F12" w:rsidRDefault="00F04D52" w:rsidP="00F04D52">
            <w:pPr>
              <w:autoSpaceDE w:val="0"/>
              <w:autoSpaceDN w:val="0"/>
              <w:adjustRightInd w:val="0"/>
              <w:rPr>
                <w:rFonts w:cs="Calibri"/>
                <w:sz w:val="18"/>
                <w:szCs w:val="18"/>
              </w:rPr>
            </w:pPr>
          </w:p>
          <w:p w14:paraId="1E682103" w14:textId="77777777" w:rsidR="00F04D52" w:rsidRPr="004E3F12" w:rsidRDefault="00F04D52" w:rsidP="00F04D52">
            <w:pPr>
              <w:autoSpaceDE w:val="0"/>
              <w:autoSpaceDN w:val="0"/>
              <w:adjustRightInd w:val="0"/>
              <w:rPr>
                <w:rFonts w:cs="Calibri"/>
                <w:sz w:val="18"/>
                <w:szCs w:val="18"/>
              </w:rPr>
            </w:pPr>
          </w:p>
          <w:p w14:paraId="1BC72810" w14:textId="77777777" w:rsidR="00F04D52" w:rsidRPr="004E3F12" w:rsidRDefault="00F04D52" w:rsidP="00F04D52">
            <w:pPr>
              <w:rPr>
                <w:rFonts w:cs="Calibri"/>
                <w:sz w:val="18"/>
                <w:szCs w:val="18"/>
              </w:rPr>
            </w:pPr>
          </w:p>
          <w:p w14:paraId="4258BB97" w14:textId="77777777" w:rsidR="00F04D52" w:rsidRPr="004E3F12" w:rsidRDefault="00F04D52" w:rsidP="00F04D52">
            <w:pPr>
              <w:rPr>
                <w:rFonts w:cs="Calibri"/>
                <w:sz w:val="18"/>
                <w:szCs w:val="18"/>
              </w:rPr>
            </w:pPr>
          </w:p>
          <w:p w14:paraId="61215829" w14:textId="77777777" w:rsidR="00F04D52" w:rsidRPr="004E3F12" w:rsidRDefault="00F04D52" w:rsidP="00F04D52">
            <w:pPr>
              <w:rPr>
                <w:rFonts w:cs="Calibri"/>
                <w:sz w:val="18"/>
                <w:szCs w:val="18"/>
              </w:rPr>
            </w:pPr>
          </w:p>
          <w:p w14:paraId="57400199" w14:textId="77777777" w:rsidR="00F04D52" w:rsidRPr="004E3F12" w:rsidRDefault="00F04D52" w:rsidP="00F04D52">
            <w:pPr>
              <w:rPr>
                <w:rFonts w:cs="Calibri"/>
                <w:sz w:val="18"/>
                <w:szCs w:val="18"/>
              </w:rPr>
            </w:pPr>
          </w:p>
          <w:p w14:paraId="4D8A2937" w14:textId="77777777" w:rsidR="00F04D52" w:rsidRPr="004E3F12" w:rsidRDefault="00F04D52" w:rsidP="00F04D52">
            <w:pPr>
              <w:rPr>
                <w:rFonts w:cs="Calibri"/>
                <w:sz w:val="18"/>
                <w:szCs w:val="18"/>
              </w:rPr>
            </w:pPr>
          </w:p>
          <w:p w14:paraId="485C0CA1" w14:textId="77777777" w:rsidR="00F04D52" w:rsidRPr="004E3F12" w:rsidRDefault="00F04D52" w:rsidP="00F04D52">
            <w:pPr>
              <w:rPr>
                <w:rFonts w:cs="Calibri"/>
                <w:sz w:val="18"/>
                <w:szCs w:val="18"/>
              </w:rPr>
            </w:pPr>
          </w:p>
          <w:p w14:paraId="0E5D5AAD" w14:textId="77777777" w:rsidR="00F04D52" w:rsidRPr="004E3F12" w:rsidRDefault="00F04D52" w:rsidP="00F04D52">
            <w:pPr>
              <w:rPr>
                <w:rFonts w:cs="Calibri"/>
                <w:sz w:val="18"/>
                <w:szCs w:val="18"/>
              </w:rPr>
            </w:pPr>
          </w:p>
          <w:p w14:paraId="2E6C5EB0" w14:textId="77777777" w:rsidR="00F04D52" w:rsidRPr="004E3F12" w:rsidRDefault="00F04D52" w:rsidP="00F04D52">
            <w:pPr>
              <w:rPr>
                <w:rFonts w:cs="Calibri"/>
                <w:sz w:val="18"/>
                <w:szCs w:val="18"/>
              </w:rPr>
            </w:pPr>
          </w:p>
          <w:p w14:paraId="0E79567D" w14:textId="77777777" w:rsidR="00F04D52" w:rsidRPr="004E3F12" w:rsidRDefault="00F04D52" w:rsidP="00F04D52">
            <w:pPr>
              <w:rPr>
                <w:rFonts w:cs="Calibri"/>
                <w:sz w:val="18"/>
                <w:szCs w:val="18"/>
              </w:rPr>
            </w:pPr>
          </w:p>
          <w:p w14:paraId="5FF7B700" w14:textId="77777777" w:rsidR="00F04D52" w:rsidRPr="004E3F12" w:rsidRDefault="00F04D52" w:rsidP="00F04D52">
            <w:pPr>
              <w:rPr>
                <w:rFonts w:cs="Calibri"/>
                <w:sz w:val="18"/>
                <w:szCs w:val="18"/>
              </w:rPr>
            </w:pPr>
          </w:p>
          <w:p w14:paraId="3D3460AE" w14:textId="77777777" w:rsidR="00F04D52" w:rsidRPr="004E3F12" w:rsidRDefault="00F04D52" w:rsidP="00F04D52">
            <w:pPr>
              <w:rPr>
                <w:rFonts w:cs="Calibri"/>
                <w:sz w:val="18"/>
                <w:szCs w:val="18"/>
              </w:rPr>
            </w:pPr>
          </w:p>
          <w:p w14:paraId="1D6DB959" w14:textId="77777777" w:rsidR="00F04D52" w:rsidRPr="004E3F12" w:rsidRDefault="00F04D52" w:rsidP="00F04D52">
            <w:pPr>
              <w:rPr>
                <w:rFonts w:cs="Calibri"/>
                <w:sz w:val="18"/>
                <w:szCs w:val="18"/>
              </w:rPr>
            </w:pPr>
          </w:p>
          <w:p w14:paraId="156C3F69" w14:textId="77777777" w:rsidR="00F04D52" w:rsidRPr="004E3F12" w:rsidRDefault="00F04D52" w:rsidP="00F04D52">
            <w:pPr>
              <w:rPr>
                <w:rFonts w:cs="Calibri"/>
                <w:sz w:val="18"/>
                <w:szCs w:val="18"/>
              </w:rPr>
            </w:pPr>
          </w:p>
          <w:p w14:paraId="74C95BD5" w14:textId="77777777" w:rsidR="00F04D52" w:rsidRPr="004E3F12" w:rsidRDefault="00F04D52" w:rsidP="00F04D52">
            <w:pPr>
              <w:rPr>
                <w:rFonts w:cs="Calibri"/>
                <w:sz w:val="18"/>
                <w:szCs w:val="18"/>
              </w:rPr>
            </w:pPr>
          </w:p>
          <w:p w14:paraId="6BD4FF86" w14:textId="77777777" w:rsidR="00F04D52" w:rsidRPr="004E3F12" w:rsidRDefault="00F04D52" w:rsidP="00F04D52">
            <w:pPr>
              <w:rPr>
                <w:rFonts w:cs="Calibri"/>
                <w:sz w:val="18"/>
                <w:szCs w:val="18"/>
              </w:rPr>
            </w:pPr>
          </w:p>
          <w:p w14:paraId="551808FD" w14:textId="77777777" w:rsidR="00F04D52" w:rsidRPr="004E3F12" w:rsidRDefault="00F04D52" w:rsidP="002859F6">
            <w:pPr>
              <w:rPr>
                <w:sz w:val="18"/>
                <w:szCs w:val="18"/>
              </w:rPr>
            </w:pPr>
          </w:p>
        </w:tc>
      </w:tr>
      <w:tr w:rsidR="00B32760" w:rsidRPr="004E3F12" w14:paraId="2B702610" w14:textId="77777777" w:rsidTr="00846407">
        <w:tc>
          <w:tcPr>
            <w:tcW w:w="1063" w:type="pct"/>
            <w:shd w:val="clear" w:color="auto" w:fill="9CC2E5" w:themeFill="accent1" w:themeFillTint="99"/>
          </w:tcPr>
          <w:p w14:paraId="5CB34EFF" w14:textId="593F4D22" w:rsidR="00B32760" w:rsidRPr="004E3F12" w:rsidRDefault="008B52C3" w:rsidP="008B52C3">
            <w:pPr>
              <w:rPr>
                <w:b/>
                <w:sz w:val="18"/>
                <w:szCs w:val="18"/>
              </w:rPr>
            </w:pPr>
            <w:r w:rsidRPr="004E3F12">
              <w:rPr>
                <w:b/>
                <w:sz w:val="18"/>
                <w:szCs w:val="18"/>
              </w:rPr>
              <w:lastRenderedPageBreak/>
              <w:t>Livestock g</w:t>
            </w:r>
            <w:r w:rsidR="00B32760" w:rsidRPr="004E3F12">
              <w:rPr>
                <w:b/>
                <w:sz w:val="18"/>
                <w:szCs w:val="18"/>
              </w:rPr>
              <w:t>enetics</w:t>
            </w:r>
          </w:p>
        </w:tc>
        <w:tc>
          <w:tcPr>
            <w:tcW w:w="2936" w:type="pct"/>
            <w:shd w:val="clear" w:color="auto" w:fill="9CC2E5" w:themeFill="accent1" w:themeFillTint="99"/>
          </w:tcPr>
          <w:p w14:paraId="65EA7755" w14:textId="77777777" w:rsidR="00B32760" w:rsidRPr="004E3F12" w:rsidRDefault="00B32760" w:rsidP="00255208">
            <w:pPr>
              <w:rPr>
                <w:sz w:val="18"/>
                <w:szCs w:val="18"/>
              </w:rPr>
            </w:pPr>
          </w:p>
        </w:tc>
        <w:tc>
          <w:tcPr>
            <w:tcW w:w="1001" w:type="pct"/>
            <w:shd w:val="clear" w:color="auto" w:fill="9CC2E5" w:themeFill="accent1" w:themeFillTint="99"/>
          </w:tcPr>
          <w:p w14:paraId="6EF0EAE4" w14:textId="77777777" w:rsidR="00B32760" w:rsidRPr="004E3F12" w:rsidRDefault="00B32760" w:rsidP="00255208">
            <w:pPr>
              <w:rPr>
                <w:sz w:val="18"/>
                <w:szCs w:val="18"/>
              </w:rPr>
            </w:pPr>
          </w:p>
        </w:tc>
      </w:tr>
      <w:tr w:rsidR="00F04D52" w:rsidRPr="004E3F12" w14:paraId="22142361" w14:textId="77777777" w:rsidTr="00846407">
        <w:tc>
          <w:tcPr>
            <w:tcW w:w="1063" w:type="pct"/>
          </w:tcPr>
          <w:p w14:paraId="087109C2" w14:textId="77777777" w:rsidR="00F04D52" w:rsidRPr="004E3F12" w:rsidRDefault="00F04D52" w:rsidP="00F04D52">
            <w:pPr>
              <w:rPr>
                <w:sz w:val="18"/>
                <w:szCs w:val="18"/>
              </w:rPr>
            </w:pPr>
            <w:r w:rsidRPr="004E3F12">
              <w:rPr>
                <w:sz w:val="18"/>
                <w:szCs w:val="18"/>
              </w:rPr>
              <w:t>Given that the likelihood of success can vary widely between species, an explanation of the links between genetics/genomics approaches and livestock trait performance, and documentation of past successes of productivity increases would strengthen the proposal. (p7)</w:t>
            </w:r>
          </w:p>
        </w:tc>
        <w:tc>
          <w:tcPr>
            <w:tcW w:w="2936" w:type="pct"/>
          </w:tcPr>
          <w:p w14:paraId="30EDD642" w14:textId="77777777" w:rsidR="00F04D52" w:rsidRPr="004E3F12" w:rsidRDefault="00F04D52" w:rsidP="00F04D52">
            <w:pPr>
              <w:jc w:val="both"/>
              <w:rPr>
                <w:sz w:val="18"/>
                <w:szCs w:val="18"/>
              </w:rPr>
            </w:pPr>
            <w:r w:rsidRPr="004E3F12">
              <w:rPr>
                <w:sz w:val="18"/>
                <w:szCs w:val="18"/>
              </w:rPr>
              <w:t xml:space="preserve">Links between genetics/genomics approaches and livestock trait performances have been extensively documented for the commercial improved livestock breeds (e.g. see Hill (2014) for dairy cattle, </w:t>
            </w:r>
            <w:proofErr w:type="spellStart"/>
            <w:r w:rsidRPr="004E3F12">
              <w:rPr>
                <w:sz w:val="18"/>
                <w:szCs w:val="18"/>
              </w:rPr>
              <w:t>Dekkers</w:t>
            </w:r>
            <w:proofErr w:type="spellEnd"/>
            <w:r w:rsidRPr="004E3F12">
              <w:rPr>
                <w:sz w:val="18"/>
                <w:szCs w:val="18"/>
              </w:rPr>
              <w:t xml:space="preserve"> </w:t>
            </w:r>
            <w:r w:rsidRPr="004E3F12">
              <w:rPr>
                <w:i/>
                <w:sz w:val="18"/>
                <w:szCs w:val="18"/>
              </w:rPr>
              <w:t>et al.</w:t>
            </w:r>
            <w:r w:rsidRPr="004E3F12">
              <w:rPr>
                <w:sz w:val="18"/>
                <w:szCs w:val="18"/>
              </w:rPr>
              <w:t xml:space="preserve"> (2011) for pigs, Martins </w:t>
            </w:r>
            <w:r w:rsidRPr="004E3F12">
              <w:rPr>
                <w:i/>
                <w:sz w:val="18"/>
                <w:szCs w:val="18"/>
              </w:rPr>
              <w:t>et al.</w:t>
            </w:r>
            <w:r w:rsidRPr="004E3F12">
              <w:rPr>
                <w:sz w:val="18"/>
                <w:szCs w:val="18"/>
              </w:rPr>
              <w:t xml:space="preserve"> (2012) for broiler chickens). Today, successful genomic selection programs are ongoing in dairy cattle, pigs and poultry.</w:t>
            </w:r>
          </w:p>
          <w:p w14:paraId="2F415CF2" w14:textId="77777777" w:rsidR="00F04D52" w:rsidRPr="004E3F12" w:rsidRDefault="00F04D52" w:rsidP="00F04D52">
            <w:pPr>
              <w:jc w:val="both"/>
              <w:rPr>
                <w:sz w:val="18"/>
                <w:szCs w:val="18"/>
              </w:rPr>
            </w:pPr>
          </w:p>
          <w:p w14:paraId="799787E0" w14:textId="77777777" w:rsidR="00F04D52" w:rsidRPr="004E3F12" w:rsidRDefault="00F04D52" w:rsidP="00F04D52">
            <w:pPr>
              <w:rPr>
                <w:rFonts w:cs="Times"/>
                <w:bCs/>
                <w:sz w:val="18"/>
                <w:szCs w:val="18"/>
                <w:lang w:val="en-US"/>
              </w:rPr>
            </w:pPr>
            <w:r w:rsidRPr="004E3F12">
              <w:rPr>
                <w:rFonts w:cs="Times"/>
                <w:bCs/>
                <w:sz w:val="18"/>
                <w:szCs w:val="18"/>
                <w:lang w:val="en-US"/>
              </w:rPr>
              <w:t>In dairy cattle and chickens the initial genetic intervention strategies involves the identification of more productive genotypes (crossbred or breeds) and their distribution to farmers at large geographic scales. This will lead to an immediate productivity jump (bullet 2 response in Table 1 and box added to narrative). In small ruminants, within breed/population selection will be followed and therefore the impact of genetic gains on productivity is anticipated to be slower but continuous across generations.</w:t>
            </w:r>
          </w:p>
          <w:p w14:paraId="4544A605" w14:textId="77777777" w:rsidR="00F04D52" w:rsidRPr="004E3F12" w:rsidRDefault="00F04D52" w:rsidP="00F04D52">
            <w:pPr>
              <w:rPr>
                <w:rFonts w:cs="Times"/>
                <w:bCs/>
                <w:sz w:val="18"/>
                <w:szCs w:val="18"/>
                <w:lang w:val="en-US"/>
              </w:rPr>
            </w:pPr>
          </w:p>
          <w:p w14:paraId="6C6850DE" w14:textId="77777777" w:rsidR="00EF1C50" w:rsidRDefault="00EF1C50" w:rsidP="00F04D52">
            <w:pPr>
              <w:rPr>
                <w:sz w:val="18"/>
                <w:szCs w:val="18"/>
              </w:rPr>
            </w:pPr>
            <w:r>
              <w:rPr>
                <w:sz w:val="18"/>
                <w:szCs w:val="18"/>
              </w:rPr>
              <w:t>References:</w:t>
            </w:r>
          </w:p>
          <w:p w14:paraId="6ABF8138" w14:textId="77777777" w:rsidR="00576B7D" w:rsidRDefault="00576B7D" w:rsidP="00F04D52">
            <w:pPr>
              <w:rPr>
                <w:rFonts w:eastAsia="Times New Roman" w:cs="Times New Roman"/>
                <w:sz w:val="18"/>
                <w:szCs w:val="18"/>
              </w:rPr>
            </w:pPr>
            <w:proofErr w:type="spellStart"/>
            <w:r>
              <w:rPr>
                <w:sz w:val="18"/>
                <w:szCs w:val="18"/>
              </w:rPr>
              <w:t>Dekkers</w:t>
            </w:r>
            <w:proofErr w:type="spellEnd"/>
            <w:r>
              <w:rPr>
                <w:sz w:val="18"/>
                <w:szCs w:val="18"/>
              </w:rPr>
              <w:t xml:space="preserve">, </w:t>
            </w:r>
            <w:r w:rsidR="00F04D52" w:rsidRPr="004E3F12">
              <w:rPr>
                <w:rFonts w:eastAsia="Times New Roman" w:cs="Times New Roman"/>
                <w:sz w:val="18"/>
                <w:szCs w:val="18"/>
              </w:rPr>
              <w:t>J</w:t>
            </w:r>
            <w:r>
              <w:rPr>
                <w:rFonts w:eastAsia="Times New Roman" w:cs="Times New Roman"/>
                <w:sz w:val="18"/>
                <w:szCs w:val="18"/>
              </w:rPr>
              <w:t>.</w:t>
            </w:r>
            <w:r w:rsidR="00F04D52" w:rsidRPr="004E3F12">
              <w:rPr>
                <w:rFonts w:eastAsia="Times New Roman" w:cs="Times New Roman"/>
                <w:sz w:val="18"/>
                <w:szCs w:val="18"/>
              </w:rPr>
              <w:t>C</w:t>
            </w:r>
            <w:r>
              <w:rPr>
                <w:rFonts w:eastAsia="Times New Roman" w:cs="Times New Roman"/>
                <w:sz w:val="18"/>
                <w:szCs w:val="18"/>
              </w:rPr>
              <w:t>.</w:t>
            </w:r>
            <w:r w:rsidR="00F04D52" w:rsidRPr="004E3F12">
              <w:rPr>
                <w:rFonts w:eastAsia="Times New Roman" w:cs="Times New Roman"/>
                <w:sz w:val="18"/>
                <w:szCs w:val="18"/>
              </w:rPr>
              <w:t>M</w:t>
            </w:r>
            <w:r>
              <w:rPr>
                <w:rFonts w:eastAsia="Times New Roman" w:cs="Times New Roman"/>
                <w:sz w:val="18"/>
                <w:szCs w:val="18"/>
              </w:rPr>
              <w:t>.</w:t>
            </w:r>
            <w:r w:rsidR="00F04D52" w:rsidRPr="004E3F12">
              <w:rPr>
                <w:rFonts w:eastAsia="Times New Roman" w:cs="Times New Roman"/>
                <w:sz w:val="18"/>
                <w:szCs w:val="18"/>
              </w:rPr>
              <w:t>, Mathur</w:t>
            </w:r>
            <w:r>
              <w:rPr>
                <w:rFonts w:eastAsia="Times New Roman" w:cs="Times New Roman"/>
                <w:sz w:val="18"/>
                <w:szCs w:val="18"/>
              </w:rPr>
              <w:t>,</w:t>
            </w:r>
            <w:r w:rsidR="00F04D52" w:rsidRPr="004E3F12">
              <w:rPr>
                <w:rFonts w:eastAsia="Times New Roman" w:cs="Times New Roman"/>
                <w:sz w:val="18"/>
                <w:szCs w:val="18"/>
              </w:rPr>
              <w:t xml:space="preserve"> P</w:t>
            </w:r>
            <w:r>
              <w:rPr>
                <w:rFonts w:eastAsia="Times New Roman" w:cs="Times New Roman"/>
                <w:sz w:val="18"/>
                <w:szCs w:val="18"/>
              </w:rPr>
              <w:t>.</w:t>
            </w:r>
            <w:r w:rsidR="00F04D52" w:rsidRPr="004E3F12">
              <w:rPr>
                <w:rFonts w:eastAsia="Times New Roman" w:cs="Times New Roman"/>
                <w:sz w:val="18"/>
                <w:szCs w:val="18"/>
              </w:rPr>
              <w:t>K</w:t>
            </w:r>
            <w:r>
              <w:rPr>
                <w:rFonts w:eastAsia="Times New Roman" w:cs="Times New Roman"/>
                <w:sz w:val="18"/>
                <w:szCs w:val="18"/>
              </w:rPr>
              <w:t>.</w:t>
            </w:r>
            <w:r w:rsidR="00F04D52" w:rsidRPr="004E3F12">
              <w:rPr>
                <w:rFonts w:eastAsia="Times New Roman" w:cs="Times New Roman"/>
                <w:sz w:val="18"/>
                <w:szCs w:val="18"/>
              </w:rPr>
              <w:t xml:space="preserve"> and </w:t>
            </w:r>
            <w:proofErr w:type="spellStart"/>
            <w:r w:rsidR="00F04D52" w:rsidRPr="004E3F12">
              <w:rPr>
                <w:rFonts w:eastAsia="Times New Roman" w:cs="Times New Roman"/>
                <w:sz w:val="18"/>
                <w:szCs w:val="18"/>
              </w:rPr>
              <w:t>Knol</w:t>
            </w:r>
            <w:proofErr w:type="spellEnd"/>
            <w:r>
              <w:rPr>
                <w:rFonts w:eastAsia="Times New Roman" w:cs="Times New Roman"/>
                <w:sz w:val="18"/>
                <w:szCs w:val="18"/>
              </w:rPr>
              <w:t>,</w:t>
            </w:r>
            <w:r w:rsidR="00F04D52" w:rsidRPr="004E3F12">
              <w:rPr>
                <w:rFonts w:eastAsia="Times New Roman" w:cs="Times New Roman"/>
                <w:sz w:val="18"/>
                <w:szCs w:val="18"/>
              </w:rPr>
              <w:t xml:space="preserve"> E</w:t>
            </w:r>
            <w:r>
              <w:rPr>
                <w:rFonts w:eastAsia="Times New Roman" w:cs="Times New Roman"/>
                <w:sz w:val="18"/>
                <w:szCs w:val="18"/>
              </w:rPr>
              <w:t>.</w:t>
            </w:r>
            <w:r w:rsidR="00F04D52" w:rsidRPr="004E3F12">
              <w:rPr>
                <w:rFonts w:eastAsia="Times New Roman" w:cs="Times New Roman"/>
                <w:sz w:val="18"/>
                <w:szCs w:val="18"/>
              </w:rPr>
              <w:t>F</w:t>
            </w:r>
            <w:r>
              <w:rPr>
                <w:rFonts w:eastAsia="Times New Roman" w:cs="Times New Roman"/>
                <w:sz w:val="18"/>
                <w:szCs w:val="18"/>
              </w:rPr>
              <w:t>.</w:t>
            </w:r>
            <w:r w:rsidR="00F04D52" w:rsidRPr="004E3F12">
              <w:rPr>
                <w:rFonts w:eastAsia="Times New Roman" w:cs="Times New Roman"/>
                <w:sz w:val="18"/>
                <w:szCs w:val="18"/>
              </w:rPr>
              <w:t xml:space="preserve"> </w:t>
            </w:r>
            <w:r>
              <w:rPr>
                <w:rFonts w:eastAsia="Times New Roman" w:cs="Times New Roman"/>
                <w:sz w:val="18"/>
                <w:szCs w:val="18"/>
              </w:rPr>
              <w:t>2011</w:t>
            </w:r>
            <w:r w:rsidR="00F04D52" w:rsidRPr="004E3F12">
              <w:rPr>
                <w:rFonts w:eastAsia="Times New Roman" w:cs="Times New Roman"/>
                <w:sz w:val="18"/>
                <w:szCs w:val="18"/>
              </w:rPr>
              <w:t>. Genetic improvement of the pig. I</w:t>
            </w:r>
            <w:r>
              <w:rPr>
                <w:rFonts w:eastAsia="Times New Roman" w:cs="Times New Roman"/>
                <w:sz w:val="18"/>
                <w:szCs w:val="18"/>
              </w:rPr>
              <w:t>N</w:t>
            </w:r>
            <w:r w:rsidR="00F04D52" w:rsidRPr="004E3F12">
              <w:rPr>
                <w:rFonts w:eastAsia="Times New Roman" w:cs="Times New Roman"/>
                <w:sz w:val="18"/>
                <w:szCs w:val="18"/>
              </w:rPr>
              <w:t xml:space="preserve"> The genetics of the pig (ed. MF Rothschild and A </w:t>
            </w:r>
            <w:proofErr w:type="spellStart"/>
            <w:r w:rsidR="00F04D52" w:rsidRPr="004E3F12">
              <w:rPr>
                <w:rFonts w:eastAsia="Times New Roman" w:cs="Times New Roman"/>
                <w:sz w:val="18"/>
                <w:szCs w:val="18"/>
              </w:rPr>
              <w:t>Ruvinsky</w:t>
            </w:r>
            <w:proofErr w:type="spellEnd"/>
            <w:r w:rsidR="00F04D52" w:rsidRPr="004E3F12">
              <w:rPr>
                <w:rFonts w:eastAsia="Times New Roman" w:cs="Times New Roman"/>
                <w:sz w:val="18"/>
                <w:szCs w:val="18"/>
              </w:rPr>
              <w:t>)</w:t>
            </w:r>
            <w:r>
              <w:rPr>
                <w:rFonts w:eastAsia="Times New Roman" w:cs="Times New Roman"/>
                <w:sz w:val="18"/>
                <w:szCs w:val="18"/>
              </w:rPr>
              <w:t xml:space="preserve">. Wallingford: CABI: </w:t>
            </w:r>
            <w:r w:rsidR="00F04D52" w:rsidRPr="004E3F12">
              <w:rPr>
                <w:rFonts w:eastAsia="Times New Roman" w:cs="Times New Roman"/>
                <w:sz w:val="18"/>
                <w:szCs w:val="18"/>
              </w:rPr>
              <w:t>390–425.</w:t>
            </w:r>
          </w:p>
          <w:p w14:paraId="5D63BF2B" w14:textId="77777777" w:rsidR="00F04D52" w:rsidRPr="0048128E" w:rsidRDefault="00F04D52" w:rsidP="00F04D52">
            <w:pPr>
              <w:rPr>
                <w:rFonts w:eastAsia="Times New Roman" w:cs="Times New Roman"/>
                <w:sz w:val="18"/>
                <w:szCs w:val="18"/>
                <w:lang w:val="it-IT"/>
              </w:rPr>
            </w:pPr>
          </w:p>
          <w:p w14:paraId="4B629606" w14:textId="321B03C8" w:rsidR="00F04D52" w:rsidRPr="004E3F12" w:rsidRDefault="00576B7D" w:rsidP="00576B7D">
            <w:pPr>
              <w:rPr>
                <w:sz w:val="18"/>
                <w:szCs w:val="18"/>
              </w:rPr>
            </w:pPr>
            <w:r>
              <w:rPr>
                <w:rFonts w:eastAsia="Times New Roman" w:cs="Arial"/>
                <w:sz w:val="18"/>
                <w:szCs w:val="18"/>
                <w:shd w:val="clear" w:color="auto" w:fill="FFFFFF"/>
                <w:lang w:val="it-IT"/>
              </w:rPr>
              <w:t>Martins, J.D.</w:t>
            </w:r>
            <w:r w:rsidR="00F04D52" w:rsidRPr="0048128E">
              <w:rPr>
                <w:rFonts w:eastAsia="Times New Roman" w:cs="Arial"/>
                <w:sz w:val="18"/>
                <w:szCs w:val="18"/>
                <w:shd w:val="clear" w:color="auto" w:fill="FFFFFF"/>
                <w:lang w:val="it-IT"/>
              </w:rPr>
              <w:t>S., Litz, F.</w:t>
            </w:r>
            <w:r>
              <w:rPr>
                <w:rFonts w:eastAsia="Times New Roman" w:cs="Arial"/>
                <w:sz w:val="18"/>
                <w:szCs w:val="18"/>
                <w:shd w:val="clear" w:color="auto" w:fill="FFFFFF"/>
                <w:lang w:val="it-IT"/>
              </w:rPr>
              <w:t>H., Castilhano, H., Campos, D.</w:t>
            </w:r>
            <w:r w:rsidR="00F04D52" w:rsidRPr="0048128E">
              <w:rPr>
                <w:rFonts w:eastAsia="Times New Roman" w:cs="Arial"/>
                <w:sz w:val="18"/>
                <w:szCs w:val="18"/>
                <w:shd w:val="clear" w:color="auto" w:fill="FFFFFF"/>
                <w:lang w:val="it-IT"/>
              </w:rPr>
              <w:t>F., Taveira, R.</w:t>
            </w:r>
            <w:r>
              <w:rPr>
                <w:rFonts w:eastAsia="Times New Roman" w:cs="Arial"/>
                <w:sz w:val="18"/>
                <w:szCs w:val="18"/>
                <w:shd w:val="clear" w:color="auto" w:fill="FFFFFF"/>
                <w:lang w:val="it-IT"/>
              </w:rPr>
              <w:t>Z., and da Silveira Neto, O.J. 2012</w:t>
            </w:r>
            <w:r w:rsidR="00F04D52" w:rsidRPr="0048128E">
              <w:rPr>
                <w:rFonts w:eastAsia="Times New Roman" w:cs="Arial"/>
                <w:sz w:val="18"/>
                <w:szCs w:val="18"/>
                <w:shd w:val="clear" w:color="auto" w:fill="FFFFFF"/>
                <w:lang w:val="it-IT"/>
              </w:rPr>
              <w:t xml:space="preserve">. </w:t>
            </w:r>
            <w:r w:rsidR="00F04D52" w:rsidRPr="004E3F12">
              <w:rPr>
                <w:rFonts w:eastAsia="Times New Roman" w:cs="Arial"/>
                <w:sz w:val="18"/>
                <w:szCs w:val="18"/>
                <w:shd w:val="clear" w:color="auto" w:fill="FFFFFF"/>
              </w:rPr>
              <w:t>Genetic improvement of broilers. </w:t>
            </w:r>
            <w:r w:rsidR="00F04D52" w:rsidRPr="004E3F12">
              <w:rPr>
                <w:rFonts w:eastAsia="Times New Roman" w:cs="Arial"/>
                <w:iCs/>
                <w:sz w:val="18"/>
                <w:szCs w:val="18"/>
                <w:shd w:val="clear" w:color="auto" w:fill="FFFFFF"/>
              </w:rPr>
              <w:t>PUBVET</w:t>
            </w:r>
            <w:r>
              <w:rPr>
                <w:rFonts w:eastAsia="Times New Roman" w:cs="Arial"/>
                <w:sz w:val="18"/>
                <w:szCs w:val="18"/>
                <w:shd w:val="clear" w:color="auto" w:fill="FFFFFF"/>
              </w:rPr>
              <w:t xml:space="preserve"> </w:t>
            </w:r>
            <w:r w:rsidR="00F04D52" w:rsidRPr="004E3F12">
              <w:rPr>
                <w:rFonts w:eastAsia="Times New Roman" w:cs="Arial"/>
                <w:iCs/>
                <w:sz w:val="18"/>
                <w:szCs w:val="18"/>
                <w:shd w:val="clear" w:color="auto" w:fill="FFFFFF"/>
              </w:rPr>
              <w:t>6</w:t>
            </w:r>
            <w:r w:rsidR="00F04D52" w:rsidRPr="004E3F12">
              <w:rPr>
                <w:rFonts w:eastAsia="Times New Roman" w:cs="Arial"/>
                <w:sz w:val="18"/>
                <w:szCs w:val="18"/>
                <w:shd w:val="clear" w:color="auto" w:fill="FFFFFF"/>
              </w:rPr>
              <w:t xml:space="preserve"> (18).</w:t>
            </w:r>
          </w:p>
        </w:tc>
        <w:tc>
          <w:tcPr>
            <w:tcW w:w="1001" w:type="pct"/>
          </w:tcPr>
          <w:p w14:paraId="7697CF04" w14:textId="77777777" w:rsidR="00EF1C50" w:rsidRDefault="00EF1C50" w:rsidP="00EF1C50">
            <w:pPr>
              <w:rPr>
                <w:sz w:val="18"/>
                <w:szCs w:val="18"/>
              </w:rPr>
            </w:pPr>
            <w:r>
              <w:rPr>
                <w:sz w:val="18"/>
                <w:szCs w:val="18"/>
              </w:rPr>
              <w:t>The flagship narrative has been updated as follows:</w:t>
            </w:r>
          </w:p>
          <w:p w14:paraId="38EDC577" w14:textId="77777777" w:rsidR="00EF1C50" w:rsidRDefault="00EF1C50" w:rsidP="00F04D52">
            <w:pPr>
              <w:rPr>
                <w:sz w:val="18"/>
                <w:szCs w:val="18"/>
              </w:rPr>
            </w:pPr>
          </w:p>
          <w:p w14:paraId="1375D1EB" w14:textId="54869E6A" w:rsidR="00DB4C33" w:rsidRPr="0048128E" w:rsidRDefault="00DB4C33" w:rsidP="00DB4C33">
            <w:pPr>
              <w:rPr>
                <w:sz w:val="18"/>
                <w:szCs w:val="18"/>
                <w:lang w:val="fr-FR"/>
              </w:rPr>
            </w:pPr>
            <w:r w:rsidRPr="0048128E">
              <w:rPr>
                <w:sz w:val="18"/>
                <w:szCs w:val="18"/>
                <w:lang w:val="fr-FR"/>
              </w:rPr>
              <w:t>Sec</w:t>
            </w:r>
            <w:r w:rsidR="00886630">
              <w:rPr>
                <w:sz w:val="18"/>
                <w:szCs w:val="18"/>
                <w:lang w:val="fr-FR"/>
              </w:rPr>
              <w:t>tion 2.1.1.3: Changes on page 60</w:t>
            </w:r>
          </w:p>
          <w:p w14:paraId="2A02DDFE" w14:textId="77777777" w:rsidR="00DB4C33" w:rsidRDefault="00DB4C33" w:rsidP="00F04D52">
            <w:pPr>
              <w:rPr>
                <w:sz w:val="18"/>
                <w:szCs w:val="18"/>
                <w:lang w:val="fr-FR"/>
              </w:rPr>
            </w:pPr>
          </w:p>
          <w:p w14:paraId="7AD5D14E" w14:textId="5E4B59A7" w:rsidR="00EF1C50" w:rsidRPr="0048128E" w:rsidRDefault="00F04D52" w:rsidP="00F04D52">
            <w:pPr>
              <w:rPr>
                <w:sz w:val="18"/>
                <w:szCs w:val="18"/>
                <w:lang w:val="fr-FR"/>
              </w:rPr>
            </w:pPr>
            <w:r w:rsidRPr="0048128E">
              <w:rPr>
                <w:sz w:val="18"/>
                <w:szCs w:val="18"/>
                <w:lang w:val="fr-FR"/>
              </w:rPr>
              <w:t>Section 2.1.1.4:</w:t>
            </w:r>
            <w:r w:rsidR="00EF1C50" w:rsidRPr="0048128E">
              <w:rPr>
                <w:sz w:val="18"/>
                <w:szCs w:val="18"/>
                <w:lang w:val="fr-FR"/>
              </w:rPr>
              <w:t xml:space="preserve"> Changes on p</w:t>
            </w:r>
            <w:r w:rsidRPr="0048128E">
              <w:rPr>
                <w:sz w:val="18"/>
                <w:szCs w:val="18"/>
                <w:lang w:val="fr-FR"/>
              </w:rPr>
              <w:t>ag</w:t>
            </w:r>
            <w:r w:rsidR="00886630">
              <w:rPr>
                <w:sz w:val="18"/>
                <w:szCs w:val="18"/>
                <w:lang w:val="fr-FR"/>
              </w:rPr>
              <w:t>e 64</w:t>
            </w:r>
          </w:p>
          <w:p w14:paraId="19699ACB" w14:textId="77777777" w:rsidR="00F04D52" w:rsidRPr="0048128E" w:rsidRDefault="00F04D52" w:rsidP="00F04D52">
            <w:pPr>
              <w:rPr>
                <w:sz w:val="18"/>
                <w:szCs w:val="18"/>
                <w:lang w:val="fr-FR"/>
              </w:rPr>
            </w:pPr>
          </w:p>
          <w:p w14:paraId="4D3FC277" w14:textId="03640FBA" w:rsidR="00F04D52" w:rsidRPr="004E3F12" w:rsidRDefault="00F04D52" w:rsidP="00F04D52">
            <w:pPr>
              <w:rPr>
                <w:sz w:val="18"/>
                <w:szCs w:val="18"/>
              </w:rPr>
            </w:pPr>
            <w:r w:rsidRPr="004E3F12">
              <w:rPr>
                <w:sz w:val="18"/>
                <w:szCs w:val="18"/>
              </w:rPr>
              <w:t xml:space="preserve">See also response to bullet 2 in Table 1. </w:t>
            </w:r>
          </w:p>
        </w:tc>
      </w:tr>
      <w:tr w:rsidR="00B32760" w:rsidRPr="004E3F12" w14:paraId="72D30438" w14:textId="77777777" w:rsidTr="00846407">
        <w:tc>
          <w:tcPr>
            <w:tcW w:w="1063" w:type="pct"/>
            <w:shd w:val="clear" w:color="auto" w:fill="9CC2E5" w:themeFill="accent1" w:themeFillTint="99"/>
          </w:tcPr>
          <w:p w14:paraId="799DF309" w14:textId="201D6AC5" w:rsidR="00B32760" w:rsidRPr="004E3F12" w:rsidRDefault="008B52C3" w:rsidP="00255208">
            <w:pPr>
              <w:rPr>
                <w:b/>
                <w:sz w:val="18"/>
                <w:szCs w:val="18"/>
              </w:rPr>
            </w:pPr>
            <w:r w:rsidRPr="004E3F12">
              <w:rPr>
                <w:b/>
                <w:sz w:val="18"/>
                <w:szCs w:val="18"/>
              </w:rPr>
              <w:t xml:space="preserve">Livestock </w:t>
            </w:r>
            <w:r w:rsidR="0077659B">
              <w:rPr>
                <w:b/>
                <w:sz w:val="18"/>
                <w:szCs w:val="18"/>
              </w:rPr>
              <w:t>h</w:t>
            </w:r>
            <w:r w:rsidR="00B32760" w:rsidRPr="004E3F12">
              <w:rPr>
                <w:b/>
                <w:sz w:val="18"/>
                <w:szCs w:val="18"/>
              </w:rPr>
              <w:t>ealth</w:t>
            </w:r>
          </w:p>
        </w:tc>
        <w:tc>
          <w:tcPr>
            <w:tcW w:w="2936" w:type="pct"/>
            <w:shd w:val="clear" w:color="auto" w:fill="9CC2E5" w:themeFill="accent1" w:themeFillTint="99"/>
          </w:tcPr>
          <w:p w14:paraId="3B81A651" w14:textId="77777777" w:rsidR="00B32760" w:rsidRPr="004E3F12" w:rsidRDefault="00B32760" w:rsidP="00255208">
            <w:pPr>
              <w:rPr>
                <w:sz w:val="18"/>
                <w:szCs w:val="18"/>
              </w:rPr>
            </w:pPr>
          </w:p>
        </w:tc>
        <w:tc>
          <w:tcPr>
            <w:tcW w:w="1001" w:type="pct"/>
            <w:shd w:val="clear" w:color="auto" w:fill="9CC2E5" w:themeFill="accent1" w:themeFillTint="99"/>
          </w:tcPr>
          <w:p w14:paraId="77D6499D" w14:textId="77777777" w:rsidR="00B32760" w:rsidRPr="004E3F12" w:rsidRDefault="00B32760" w:rsidP="00255208">
            <w:pPr>
              <w:rPr>
                <w:sz w:val="18"/>
                <w:szCs w:val="18"/>
              </w:rPr>
            </w:pPr>
          </w:p>
        </w:tc>
      </w:tr>
      <w:tr w:rsidR="00F04D52" w:rsidRPr="004E3F12" w14:paraId="325FFD8C" w14:textId="77777777" w:rsidTr="00846407">
        <w:tc>
          <w:tcPr>
            <w:tcW w:w="1063" w:type="pct"/>
          </w:tcPr>
          <w:p w14:paraId="2455BFAC" w14:textId="5C7481A5" w:rsidR="00F04D52" w:rsidRPr="004E3F12" w:rsidRDefault="00F04D52" w:rsidP="00F04D52">
            <w:pPr>
              <w:rPr>
                <w:sz w:val="18"/>
                <w:szCs w:val="18"/>
              </w:rPr>
            </w:pPr>
            <w:r w:rsidRPr="004E3F12">
              <w:rPr>
                <w:sz w:val="18"/>
                <w:szCs w:val="18"/>
              </w:rPr>
              <w:t>A discussion of the critical constraints to better animal health – not just those supportive of activities in each cluster, and the extent to which animal disease is a constraint in various production systems would have strengthened the proposal. (p8)</w:t>
            </w:r>
          </w:p>
        </w:tc>
        <w:tc>
          <w:tcPr>
            <w:tcW w:w="2936" w:type="pct"/>
          </w:tcPr>
          <w:p w14:paraId="65A716D6" w14:textId="03246D4A" w:rsidR="00F04D52" w:rsidRPr="004E3F12" w:rsidRDefault="00576B7D" w:rsidP="00F04D52">
            <w:pPr>
              <w:rPr>
                <w:sz w:val="18"/>
                <w:szCs w:val="18"/>
              </w:rPr>
            </w:pPr>
            <w:r>
              <w:rPr>
                <w:sz w:val="18"/>
                <w:szCs w:val="18"/>
              </w:rPr>
              <w:t xml:space="preserve">See also responses to </w:t>
            </w:r>
            <w:r w:rsidR="00F04D52" w:rsidRPr="004E3F12">
              <w:rPr>
                <w:sz w:val="18"/>
                <w:szCs w:val="18"/>
              </w:rPr>
              <w:t>bullet 2</w:t>
            </w:r>
            <w:r>
              <w:rPr>
                <w:sz w:val="18"/>
                <w:szCs w:val="18"/>
              </w:rPr>
              <w:t xml:space="preserve"> in </w:t>
            </w:r>
            <w:r w:rsidR="00F04D52" w:rsidRPr="004E3F12">
              <w:rPr>
                <w:sz w:val="18"/>
                <w:szCs w:val="18"/>
              </w:rPr>
              <w:t>Table1</w:t>
            </w:r>
            <w:r>
              <w:rPr>
                <w:sz w:val="18"/>
                <w:szCs w:val="18"/>
              </w:rPr>
              <w:t>.</w:t>
            </w:r>
            <w:r w:rsidR="00F04D52" w:rsidRPr="004E3F12">
              <w:rPr>
                <w:sz w:val="18"/>
                <w:szCs w:val="18"/>
              </w:rPr>
              <w:t xml:space="preserve"> </w:t>
            </w:r>
          </w:p>
          <w:p w14:paraId="266DFE32" w14:textId="77777777" w:rsidR="00576B7D" w:rsidRDefault="00576B7D" w:rsidP="00F04D52">
            <w:pPr>
              <w:rPr>
                <w:sz w:val="18"/>
                <w:szCs w:val="18"/>
              </w:rPr>
            </w:pPr>
          </w:p>
          <w:p w14:paraId="5623ED07" w14:textId="77777777" w:rsidR="00F04D52" w:rsidRPr="004E3F12" w:rsidRDefault="00F04D52" w:rsidP="00F04D52">
            <w:pPr>
              <w:rPr>
                <w:sz w:val="18"/>
                <w:szCs w:val="18"/>
              </w:rPr>
            </w:pPr>
            <w:r w:rsidRPr="004E3F12">
              <w:rPr>
                <w:sz w:val="18"/>
                <w:szCs w:val="18"/>
              </w:rPr>
              <w:t xml:space="preserve">Based on experience from the Livestock and Fish CRP, a number of animal health constraints and matching scientific opportunities were identified: </w:t>
            </w:r>
          </w:p>
          <w:p w14:paraId="3B4904DA" w14:textId="77777777" w:rsidR="00F04D52" w:rsidRPr="004E3F12" w:rsidRDefault="00F04D52" w:rsidP="00F04D52">
            <w:pPr>
              <w:rPr>
                <w:sz w:val="18"/>
                <w:szCs w:val="18"/>
              </w:rPr>
            </w:pPr>
          </w:p>
          <w:p w14:paraId="7B4BFAD4" w14:textId="779BA8C6" w:rsidR="00F04D52" w:rsidRPr="00606BA5" w:rsidRDefault="00F04D52" w:rsidP="00F04D52">
            <w:pPr>
              <w:pStyle w:val="ListParagraph"/>
              <w:numPr>
                <w:ilvl w:val="0"/>
                <w:numId w:val="42"/>
              </w:numPr>
              <w:rPr>
                <w:sz w:val="18"/>
                <w:szCs w:val="18"/>
              </w:rPr>
            </w:pPr>
            <w:r w:rsidRPr="00606BA5">
              <w:rPr>
                <w:sz w:val="18"/>
                <w:szCs w:val="18"/>
              </w:rPr>
              <w:t>The disease and health landscape varies over time and between locations, therefore a cluster dealing w</w:t>
            </w:r>
            <w:r w:rsidR="0010169E" w:rsidRPr="00606BA5">
              <w:rPr>
                <w:sz w:val="18"/>
                <w:szCs w:val="18"/>
              </w:rPr>
              <w:t>ith evaluating and assessing emerging</w:t>
            </w:r>
            <w:r w:rsidRPr="00606BA5">
              <w:rPr>
                <w:sz w:val="18"/>
                <w:szCs w:val="18"/>
              </w:rPr>
              <w:t xml:space="preserve"> threats and constraints (cluster 1) is included and will also relate to the broader prioritisation studies in cluster 1 of </w:t>
            </w:r>
            <w:r w:rsidR="00606BA5" w:rsidRPr="00606BA5">
              <w:rPr>
                <w:sz w:val="18"/>
                <w:szCs w:val="18"/>
              </w:rPr>
              <w:t>the LLAFS flagship</w:t>
            </w:r>
            <w:r w:rsidRPr="00606BA5">
              <w:rPr>
                <w:sz w:val="18"/>
                <w:szCs w:val="18"/>
              </w:rPr>
              <w:t xml:space="preserve">. </w:t>
            </w:r>
          </w:p>
          <w:p w14:paraId="2CE29CD7" w14:textId="77777777" w:rsidR="00F04D52" w:rsidRPr="00606BA5" w:rsidRDefault="00F04D52" w:rsidP="00F04D52">
            <w:pPr>
              <w:pStyle w:val="ListParagraph"/>
              <w:numPr>
                <w:ilvl w:val="0"/>
                <w:numId w:val="42"/>
              </w:numPr>
              <w:rPr>
                <w:sz w:val="18"/>
                <w:szCs w:val="18"/>
              </w:rPr>
            </w:pPr>
            <w:r w:rsidRPr="00606BA5">
              <w:rPr>
                <w:sz w:val="18"/>
                <w:szCs w:val="18"/>
              </w:rPr>
              <w:t xml:space="preserve">There are far more health constraints than single, but severe, diseases that affect productivity, thus the inclusion of cluster 2 on herd health addressing the broader range of constraints and that interacting with feed and breed solutions from other technology flagships. </w:t>
            </w:r>
          </w:p>
          <w:p w14:paraId="0CA7A778" w14:textId="483D350B" w:rsidR="00F04D52" w:rsidRPr="004E3F12" w:rsidRDefault="00F04D52" w:rsidP="00F04D52">
            <w:pPr>
              <w:pStyle w:val="ListParagraph"/>
              <w:numPr>
                <w:ilvl w:val="0"/>
                <w:numId w:val="42"/>
              </w:numPr>
              <w:rPr>
                <w:sz w:val="18"/>
                <w:szCs w:val="18"/>
              </w:rPr>
            </w:pPr>
            <w:r w:rsidRPr="00606BA5">
              <w:rPr>
                <w:sz w:val="18"/>
                <w:szCs w:val="18"/>
              </w:rPr>
              <w:t xml:space="preserve">There are several major infectious diseases hampering the productivity increase in the focus systems and value chains but these </w:t>
            </w:r>
            <w:r w:rsidR="0010169E" w:rsidRPr="00606BA5">
              <w:rPr>
                <w:sz w:val="18"/>
                <w:szCs w:val="18"/>
              </w:rPr>
              <w:t>have been</w:t>
            </w:r>
            <w:r w:rsidRPr="00606BA5">
              <w:rPr>
                <w:sz w:val="18"/>
                <w:szCs w:val="18"/>
              </w:rPr>
              <w:t xml:space="preserve"> of limited</w:t>
            </w:r>
            <w:r w:rsidRPr="004E3F12">
              <w:rPr>
                <w:sz w:val="18"/>
                <w:szCs w:val="18"/>
              </w:rPr>
              <w:t xml:space="preserve"> commercial interest for the biotech industry, therefore the focus of vaccine and diagnostic development includes such diseases. </w:t>
            </w:r>
          </w:p>
          <w:p w14:paraId="36BF6EB1" w14:textId="1707024B" w:rsidR="00F04D52" w:rsidRPr="004E3F12" w:rsidRDefault="00F04D52" w:rsidP="0080437D">
            <w:pPr>
              <w:pStyle w:val="ListParagraph"/>
              <w:numPr>
                <w:ilvl w:val="0"/>
                <w:numId w:val="42"/>
              </w:numPr>
              <w:rPr>
                <w:sz w:val="18"/>
                <w:szCs w:val="18"/>
              </w:rPr>
            </w:pPr>
            <w:r w:rsidRPr="004E3F12">
              <w:rPr>
                <w:sz w:val="18"/>
                <w:szCs w:val="18"/>
              </w:rPr>
              <w:lastRenderedPageBreak/>
              <w:t xml:space="preserve">A major constraint in achieving impact from livestock research is the uptake of efficient technologies, practices and products (here produced in clusters 2 and 3), therefore in line with ISPC (2014) recommendation, cluster 4 is included, specialised in developing, testing and optimizing delivery models for health related services and products working through the integration processes of </w:t>
            </w:r>
            <w:r w:rsidR="0080437D">
              <w:rPr>
                <w:sz w:val="18"/>
                <w:szCs w:val="18"/>
              </w:rPr>
              <w:t>the LLAFS flagship</w:t>
            </w:r>
            <w:r w:rsidRPr="004E3F12">
              <w:rPr>
                <w:sz w:val="18"/>
                <w:szCs w:val="18"/>
              </w:rPr>
              <w:t xml:space="preserve"> and including public and private sector partnerships.</w:t>
            </w:r>
          </w:p>
        </w:tc>
        <w:tc>
          <w:tcPr>
            <w:tcW w:w="1001" w:type="pct"/>
          </w:tcPr>
          <w:p w14:paraId="290682B2" w14:textId="77777777" w:rsidR="00EF1C50" w:rsidRDefault="00EF1C50" w:rsidP="00EF1C50">
            <w:pPr>
              <w:rPr>
                <w:sz w:val="18"/>
                <w:szCs w:val="18"/>
              </w:rPr>
            </w:pPr>
            <w:r>
              <w:rPr>
                <w:sz w:val="18"/>
                <w:szCs w:val="18"/>
              </w:rPr>
              <w:lastRenderedPageBreak/>
              <w:t>The flagship narrative has been updated as follows:</w:t>
            </w:r>
          </w:p>
          <w:p w14:paraId="79D0AFCA" w14:textId="77777777" w:rsidR="00EF1C50" w:rsidRDefault="00EF1C50" w:rsidP="00F04D52">
            <w:pPr>
              <w:rPr>
                <w:sz w:val="18"/>
                <w:szCs w:val="18"/>
              </w:rPr>
            </w:pPr>
          </w:p>
          <w:p w14:paraId="22002D9F" w14:textId="5CB7DCCE" w:rsidR="00EF1C50" w:rsidRDefault="00F04D52" w:rsidP="00F04D52">
            <w:pPr>
              <w:rPr>
                <w:sz w:val="18"/>
                <w:szCs w:val="18"/>
              </w:rPr>
            </w:pPr>
            <w:r w:rsidRPr="004E3F12">
              <w:rPr>
                <w:sz w:val="18"/>
                <w:szCs w:val="18"/>
              </w:rPr>
              <w:t>Section 2.2.1.1</w:t>
            </w:r>
            <w:r w:rsidR="00EF1C50">
              <w:rPr>
                <w:sz w:val="18"/>
                <w:szCs w:val="18"/>
              </w:rPr>
              <w:t>: Changes on p</w:t>
            </w:r>
            <w:r w:rsidRPr="004E3F12">
              <w:rPr>
                <w:sz w:val="18"/>
                <w:szCs w:val="18"/>
              </w:rPr>
              <w:t>age 8</w:t>
            </w:r>
            <w:r w:rsidR="00886630">
              <w:rPr>
                <w:sz w:val="18"/>
                <w:szCs w:val="18"/>
              </w:rPr>
              <w:t>6</w:t>
            </w:r>
          </w:p>
          <w:p w14:paraId="6906510B" w14:textId="12B6681F" w:rsidR="00F04D52" w:rsidRPr="004E3F12" w:rsidRDefault="00F04D52" w:rsidP="00EF1C50">
            <w:pPr>
              <w:pStyle w:val="ListParagraph"/>
              <w:ind w:left="360"/>
              <w:rPr>
                <w:sz w:val="18"/>
                <w:szCs w:val="18"/>
              </w:rPr>
            </w:pPr>
          </w:p>
        </w:tc>
      </w:tr>
      <w:tr w:rsidR="00F04D52" w:rsidRPr="004E3F12" w14:paraId="6BBD272F" w14:textId="77777777" w:rsidTr="00846407">
        <w:tc>
          <w:tcPr>
            <w:tcW w:w="1063" w:type="pct"/>
          </w:tcPr>
          <w:p w14:paraId="278EA294" w14:textId="6DC4639B" w:rsidR="00F04D52" w:rsidRPr="004E3F12" w:rsidRDefault="00F04D52" w:rsidP="00F04D52">
            <w:pPr>
              <w:rPr>
                <w:sz w:val="18"/>
                <w:szCs w:val="18"/>
              </w:rPr>
            </w:pPr>
            <w:r w:rsidRPr="004E3F12">
              <w:rPr>
                <w:sz w:val="18"/>
                <w:szCs w:val="18"/>
              </w:rPr>
              <w:lastRenderedPageBreak/>
              <w:t>The proposal is less clear on what specific (rapid) diagnostic tools and inventions in herd health it aims to deliver, including the country-disease combinations it will target. (p8)</w:t>
            </w:r>
          </w:p>
        </w:tc>
        <w:tc>
          <w:tcPr>
            <w:tcW w:w="2936" w:type="pct"/>
          </w:tcPr>
          <w:p w14:paraId="222E2F57" w14:textId="77777777" w:rsidR="00F04D52" w:rsidRPr="004E3F12" w:rsidRDefault="00F04D52" w:rsidP="00F04D52">
            <w:pPr>
              <w:rPr>
                <w:sz w:val="18"/>
                <w:szCs w:val="18"/>
              </w:rPr>
            </w:pPr>
            <w:r w:rsidRPr="004E3F12">
              <w:rPr>
                <w:sz w:val="18"/>
                <w:szCs w:val="18"/>
              </w:rPr>
              <w:t>The diagnostic specifications have been further developed in the “science quality” section of the flagship narrative and in the description of the Flagship’s cluster 2. For the diagnostics there is a strengthened country-disease combination and for the herd health, strengthened production system – intervention linkages. Rapid diagnostic tools will be developed in response to three dimensions of demand:</w:t>
            </w:r>
          </w:p>
          <w:p w14:paraId="60DAE429" w14:textId="77777777" w:rsidR="00F04D52" w:rsidRPr="004E3F12" w:rsidRDefault="00F04D52" w:rsidP="00F04D52">
            <w:pPr>
              <w:pStyle w:val="ListParagraph"/>
              <w:numPr>
                <w:ilvl w:val="0"/>
                <w:numId w:val="42"/>
              </w:numPr>
              <w:rPr>
                <w:sz w:val="18"/>
                <w:szCs w:val="18"/>
              </w:rPr>
            </w:pPr>
            <w:r w:rsidRPr="004E3F12">
              <w:rPr>
                <w:sz w:val="18"/>
                <w:szCs w:val="18"/>
              </w:rPr>
              <w:t>The need for broad, non-specific diagnostic approaches that can help to identify a range of (new) pathogens.</w:t>
            </w:r>
          </w:p>
          <w:p w14:paraId="486FE4A4" w14:textId="77777777" w:rsidR="00F04D52" w:rsidRPr="004E3F12" w:rsidRDefault="00F04D52" w:rsidP="00F04D52">
            <w:pPr>
              <w:pStyle w:val="ListParagraph"/>
              <w:numPr>
                <w:ilvl w:val="0"/>
                <w:numId w:val="42"/>
              </w:numPr>
              <w:rPr>
                <w:sz w:val="18"/>
                <w:szCs w:val="18"/>
              </w:rPr>
            </w:pPr>
            <w:r w:rsidRPr="004E3F12">
              <w:rPr>
                <w:sz w:val="18"/>
                <w:szCs w:val="18"/>
              </w:rPr>
              <w:t>The development and application of diagnostic tests for priority diseases (CBPP/CCPP in particular).</w:t>
            </w:r>
          </w:p>
          <w:p w14:paraId="07A34910" w14:textId="77777777" w:rsidR="00F04D52" w:rsidRPr="004E3F12" w:rsidRDefault="00F04D52" w:rsidP="00F04D52">
            <w:pPr>
              <w:pStyle w:val="ListParagraph"/>
              <w:numPr>
                <w:ilvl w:val="0"/>
                <w:numId w:val="42"/>
              </w:numPr>
              <w:rPr>
                <w:sz w:val="18"/>
                <w:szCs w:val="18"/>
              </w:rPr>
            </w:pPr>
            <w:r w:rsidRPr="004E3F12">
              <w:rPr>
                <w:sz w:val="18"/>
                <w:szCs w:val="18"/>
              </w:rPr>
              <w:t>Provision of existing (but new and not yet rolled out to national veterinary services) diagnostics such as for MERS-</w:t>
            </w:r>
            <w:proofErr w:type="spellStart"/>
            <w:r w:rsidRPr="004E3F12">
              <w:rPr>
                <w:sz w:val="18"/>
                <w:szCs w:val="18"/>
              </w:rPr>
              <w:t>CoV</w:t>
            </w:r>
            <w:proofErr w:type="spellEnd"/>
            <w:r w:rsidRPr="004E3F12">
              <w:rPr>
                <w:sz w:val="18"/>
                <w:szCs w:val="18"/>
              </w:rPr>
              <w:t>, FMD and RVF.</w:t>
            </w:r>
          </w:p>
          <w:p w14:paraId="555D4C71" w14:textId="007151A9" w:rsidR="0088034B" w:rsidRPr="004E3F12" w:rsidRDefault="0088034B" w:rsidP="00F04D52">
            <w:pPr>
              <w:pStyle w:val="ListParagraph"/>
              <w:numPr>
                <w:ilvl w:val="0"/>
                <w:numId w:val="42"/>
              </w:numPr>
              <w:rPr>
                <w:sz w:val="18"/>
                <w:szCs w:val="18"/>
              </w:rPr>
            </w:pPr>
            <w:r w:rsidRPr="004E3F12">
              <w:rPr>
                <w:sz w:val="18"/>
                <w:szCs w:val="18"/>
              </w:rPr>
              <w:t>Beyond developing new diagnostics, opportunities for deploying diagnostics for broader herd health dimensions and possible service provision opportunities for small scale private sector may also be explored.</w:t>
            </w:r>
          </w:p>
          <w:p w14:paraId="1E36AA5B" w14:textId="77777777" w:rsidR="00F04D52" w:rsidRPr="004E3F12" w:rsidRDefault="00F04D52" w:rsidP="00F04D52">
            <w:pPr>
              <w:rPr>
                <w:sz w:val="18"/>
                <w:szCs w:val="18"/>
              </w:rPr>
            </w:pPr>
          </w:p>
          <w:p w14:paraId="323219BC" w14:textId="77777777" w:rsidR="00F04D52" w:rsidRPr="004E3F12" w:rsidRDefault="00F04D52" w:rsidP="00F04D52">
            <w:pPr>
              <w:rPr>
                <w:sz w:val="18"/>
                <w:szCs w:val="18"/>
              </w:rPr>
            </w:pPr>
          </w:p>
          <w:p w14:paraId="529FA742" w14:textId="0DFA4608" w:rsidR="00F04D52" w:rsidRPr="004E3F12" w:rsidRDefault="00F04D52" w:rsidP="00F04D52">
            <w:pPr>
              <w:rPr>
                <w:sz w:val="18"/>
                <w:szCs w:val="18"/>
              </w:rPr>
            </w:pPr>
          </w:p>
        </w:tc>
        <w:tc>
          <w:tcPr>
            <w:tcW w:w="1001" w:type="pct"/>
          </w:tcPr>
          <w:p w14:paraId="7AC520A9" w14:textId="77777777" w:rsidR="00EF1C50" w:rsidRDefault="00EF1C50" w:rsidP="00EF1C50">
            <w:pPr>
              <w:rPr>
                <w:sz w:val="18"/>
                <w:szCs w:val="18"/>
              </w:rPr>
            </w:pPr>
            <w:r>
              <w:rPr>
                <w:sz w:val="18"/>
                <w:szCs w:val="18"/>
              </w:rPr>
              <w:t>The flagship narrative has been updated as follows:</w:t>
            </w:r>
          </w:p>
          <w:p w14:paraId="7782E475" w14:textId="77777777" w:rsidR="00EF1C50" w:rsidRDefault="00EF1C50" w:rsidP="00F04D52">
            <w:pPr>
              <w:rPr>
                <w:sz w:val="18"/>
                <w:szCs w:val="18"/>
              </w:rPr>
            </w:pPr>
          </w:p>
          <w:p w14:paraId="058573EE" w14:textId="007DA876" w:rsidR="00F04D52" w:rsidRPr="004E3F12" w:rsidRDefault="00F04D52" w:rsidP="00886630">
            <w:pPr>
              <w:rPr>
                <w:sz w:val="18"/>
                <w:szCs w:val="18"/>
              </w:rPr>
            </w:pPr>
            <w:r w:rsidRPr="004E3F12">
              <w:rPr>
                <w:sz w:val="18"/>
                <w:szCs w:val="18"/>
              </w:rPr>
              <w:t>Section 2.2.1.4:</w:t>
            </w:r>
            <w:r w:rsidR="00EF1C50">
              <w:rPr>
                <w:sz w:val="18"/>
                <w:szCs w:val="18"/>
              </w:rPr>
              <w:t xml:space="preserve"> Changes on pages 9</w:t>
            </w:r>
            <w:r w:rsidR="00886630">
              <w:rPr>
                <w:sz w:val="18"/>
                <w:szCs w:val="18"/>
              </w:rPr>
              <w:t>3</w:t>
            </w:r>
            <w:r w:rsidR="00A76E42">
              <w:rPr>
                <w:sz w:val="18"/>
                <w:szCs w:val="18"/>
              </w:rPr>
              <w:t>-</w:t>
            </w:r>
            <w:r w:rsidR="00886630">
              <w:rPr>
                <w:sz w:val="18"/>
                <w:szCs w:val="18"/>
              </w:rPr>
              <w:t>100</w:t>
            </w:r>
          </w:p>
        </w:tc>
      </w:tr>
      <w:tr w:rsidR="00F04D52" w:rsidRPr="004E3F12" w14:paraId="5FA38D8F" w14:textId="77777777" w:rsidTr="00846407">
        <w:tc>
          <w:tcPr>
            <w:tcW w:w="1063" w:type="pct"/>
          </w:tcPr>
          <w:p w14:paraId="57DE0999" w14:textId="1218170A" w:rsidR="00F04D52" w:rsidRPr="004E3F12" w:rsidRDefault="00F04D52" w:rsidP="00F04D52">
            <w:pPr>
              <w:rPr>
                <w:sz w:val="18"/>
                <w:szCs w:val="18"/>
              </w:rPr>
            </w:pPr>
            <w:r w:rsidRPr="004E3F12">
              <w:rPr>
                <w:sz w:val="18"/>
                <w:szCs w:val="18"/>
              </w:rPr>
              <w:t>In defining the role for the CGIAR relative to other public and private providers of services and technologies, is this primarily an advisory role (related to</w:t>
            </w:r>
          </w:p>
          <w:p w14:paraId="3CEC2608" w14:textId="7C231123" w:rsidR="00F04D52" w:rsidRPr="004E3F12" w:rsidRDefault="00F04D52" w:rsidP="00F04D52">
            <w:pPr>
              <w:rPr>
                <w:sz w:val="18"/>
                <w:szCs w:val="18"/>
              </w:rPr>
            </w:pPr>
            <w:proofErr w:type="gramStart"/>
            <w:r w:rsidRPr="004E3F12">
              <w:rPr>
                <w:sz w:val="18"/>
                <w:szCs w:val="18"/>
              </w:rPr>
              <w:t>organization</w:t>
            </w:r>
            <w:proofErr w:type="gramEnd"/>
            <w:r w:rsidRPr="004E3F12">
              <w:rPr>
                <w:sz w:val="18"/>
                <w:szCs w:val="18"/>
              </w:rPr>
              <w:t xml:space="preserve"> of animal health systems or focusing on animal health policies) or an area of upstream scientific research (developing vaccines, developing rapid diagnostics etc.)? (p8)</w:t>
            </w:r>
          </w:p>
        </w:tc>
        <w:tc>
          <w:tcPr>
            <w:tcW w:w="2936" w:type="pct"/>
          </w:tcPr>
          <w:p w14:paraId="685574C2" w14:textId="77777777" w:rsidR="00F04D52" w:rsidRPr="004E3F12" w:rsidRDefault="00F04D52" w:rsidP="00F04D52">
            <w:pPr>
              <w:rPr>
                <w:sz w:val="18"/>
                <w:szCs w:val="18"/>
              </w:rPr>
            </w:pPr>
            <w:r w:rsidRPr="004E3F12">
              <w:rPr>
                <w:sz w:val="18"/>
                <w:szCs w:val="18"/>
              </w:rPr>
              <w:t xml:space="preserve">The Animal Health Flagship roles relate to other public and private animal health providers both downstream and upstream. </w:t>
            </w:r>
          </w:p>
          <w:p w14:paraId="316D18DC" w14:textId="77777777" w:rsidR="00F04D52" w:rsidRPr="004E3F12" w:rsidRDefault="00F04D52" w:rsidP="00F04D52">
            <w:pPr>
              <w:rPr>
                <w:sz w:val="18"/>
                <w:szCs w:val="18"/>
              </w:rPr>
            </w:pPr>
          </w:p>
          <w:p w14:paraId="415F765B" w14:textId="517B3D2B" w:rsidR="00F04D52" w:rsidRPr="004E3F12" w:rsidRDefault="00F04D52" w:rsidP="00F04D52">
            <w:pPr>
              <w:rPr>
                <w:sz w:val="18"/>
                <w:szCs w:val="18"/>
              </w:rPr>
            </w:pPr>
            <w:r w:rsidRPr="004E3F12">
              <w:rPr>
                <w:sz w:val="18"/>
                <w:szCs w:val="18"/>
              </w:rPr>
              <w:t xml:space="preserve">Relative to other providers of animal health (as a whole), </w:t>
            </w:r>
            <w:r w:rsidR="00DB4C33">
              <w:rPr>
                <w:sz w:val="18"/>
                <w:szCs w:val="18"/>
              </w:rPr>
              <w:t>the flagship</w:t>
            </w:r>
            <w:r w:rsidRPr="004E3F12">
              <w:rPr>
                <w:sz w:val="18"/>
                <w:szCs w:val="18"/>
              </w:rPr>
              <w:t xml:space="preserve"> provides evidence and options for effective delivery of products and services in animal health systems. Some of this information may also contribute towards developing better animal health policies (although not a focus of the </w:t>
            </w:r>
            <w:r w:rsidR="00A76E42">
              <w:rPr>
                <w:sz w:val="18"/>
                <w:szCs w:val="18"/>
              </w:rPr>
              <w:t xml:space="preserve">flagship, </w:t>
            </w:r>
            <w:r w:rsidRPr="004E3F12">
              <w:rPr>
                <w:sz w:val="18"/>
                <w:szCs w:val="18"/>
              </w:rPr>
              <w:t xml:space="preserve">such information may be used by partners). </w:t>
            </w:r>
          </w:p>
          <w:p w14:paraId="064C5103" w14:textId="77777777" w:rsidR="00F04D52" w:rsidRPr="004E3F12" w:rsidRDefault="00F04D52" w:rsidP="00F04D52">
            <w:pPr>
              <w:rPr>
                <w:sz w:val="18"/>
                <w:szCs w:val="18"/>
              </w:rPr>
            </w:pPr>
          </w:p>
          <w:p w14:paraId="38CC8C4C" w14:textId="77FADBAF" w:rsidR="00F04D52" w:rsidRPr="004E3F12" w:rsidRDefault="00F04D52" w:rsidP="00F04D52">
            <w:pPr>
              <w:rPr>
                <w:sz w:val="18"/>
                <w:szCs w:val="18"/>
              </w:rPr>
            </w:pPr>
            <w:r w:rsidRPr="004E3F12">
              <w:rPr>
                <w:sz w:val="18"/>
                <w:szCs w:val="18"/>
              </w:rPr>
              <w:t xml:space="preserve">Regarding upstream research the </w:t>
            </w:r>
            <w:r w:rsidR="00DB4C33">
              <w:rPr>
                <w:sz w:val="18"/>
                <w:szCs w:val="18"/>
              </w:rPr>
              <w:t>flagship</w:t>
            </w:r>
            <w:r w:rsidRPr="004E3F12">
              <w:rPr>
                <w:sz w:val="18"/>
                <w:szCs w:val="18"/>
              </w:rPr>
              <w:t xml:space="preserve"> has partnerships on vaccine development with for example Hester Biosciences Inc. on PPR. </w:t>
            </w:r>
          </w:p>
          <w:p w14:paraId="1A2F1FE5" w14:textId="77777777" w:rsidR="00F04D52" w:rsidRPr="004E3F12" w:rsidRDefault="00F04D52" w:rsidP="00F04D52">
            <w:pPr>
              <w:rPr>
                <w:sz w:val="18"/>
                <w:szCs w:val="18"/>
              </w:rPr>
            </w:pPr>
          </w:p>
          <w:p w14:paraId="27138AFC" w14:textId="4B6C4A5A" w:rsidR="00B41270" w:rsidRPr="004E3F12" w:rsidRDefault="00B41270" w:rsidP="00F04D52">
            <w:pPr>
              <w:rPr>
                <w:sz w:val="18"/>
                <w:szCs w:val="18"/>
              </w:rPr>
            </w:pPr>
            <w:r w:rsidRPr="004E3F12">
              <w:rPr>
                <w:sz w:val="18"/>
                <w:szCs w:val="18"/>
              </w:rPr>
              <w:t xml:space="preserve">There is not a significant advisory role </w:t>
            </w:r>
            <w:r w:rsidRPr="004E3F12">
              <w:rPr>
                <w:i/>
                <w:sz w:val="18"/>
                <w:szCs w:val="18"/>
              </w:rPr>
              <w:t>per se</w:t>
            </w:r>
            <w:r w:rsidRPr="004E3F12">
              <w:rPr>
                <w:sz w:val="18"/>
                <w:szCs w:val="18"/>
              </w:rPr>
              <w:t>, activities focus rather on collaborative research, capacity development and generation of evidence.</w:t>
            </w:r>
          </w:p>
          <w:p w14:paraId="2DCBAF76" w14:textId="77777777" w:rsidR="00F04D52" w:rsidRPr="004E3F12" w:rsidRDefault="00F04D52" w:rsidP="00F04D52">
            <w:pPr>
              <w:autoSpaceDE w:val="0"/>
              <w:autoSpaceDN w:val="0"/>
              <w:adjustRightInd w:val="0"/>
              <w:rPr>
                <w:sz w:val="18"/>
                <w:szCs w:val="18"/>
              </w:rPr>
            </w:pPr>
          </w:p>
        </w:tc>
        <w:tc>
          <w:tcPr>
            <w:tcW w:w="1001" w:type="pct"/>
          </w:tcPr>
          <w:p w14:paraId="74A6CCF3" w14:textId="77777777" w:rsidR="00EF1C50" w:rsidRDefault="00EF1C50" w:rsidP="00EF1C50">
            <w:pPr>
              <w:rPr>
                <w:sz w:val="18"/>
                <w:szCs w:val="18"/>
              </w:rPr>
            </w:pPr>
            <w:r>
              <w:rPr>
                <w:sz w:val="18"/>
                <w:szCs w:val="18"/>
              </w:rPr>
              <w:t>The flagship narrative has been updated as follows:</w:t>
            </w:r>
          </w:p>
          <w:p w14:paraId="3E117DB7" w14:textId="77777777" w:rsidR="00EF1C50" w:rsidRDefault="00EF1C50" w:rsidP="00F04D52">
            <w:pPr>
              <w:rPr>
                <w:sz w:val="18"/>
                <w:szCs w:val="18"/>
              </w:rPr>
            </w:pPr>
          </w:p>
          <w:p w14:paraId="6DB4C859" w14:textId="757AB97F" w:rsidR="00EF1C50" w:rsidRDefault="00F04D52" w:rsidP="006A5734">
            <w:pPr>
              <w:rPr>
                <w:sz w:val="18"/>
                <w:szCs w:val="18"/>
              </w:rPr>
            </w:pPr>
            <w:r w:rsidRPr="004E3F12">
              <w:rPr>
                <w:sz w:val="18"/>
                <w:szCs w:val="18"/>
              </w:rPr>
              <w:t>Section 2.2.1.4:</w:t>
            </w:r>
            <w:r w:rsidR="00EF1C50">
              <w:rPr>
                <w:sz w:val="18"/>
                <w:szCs w:val="18"/>
              </w:rPr>
              <w:t xml:space="preserve"> Changes on p</w:t>
            </w:r>
            <w:r w:rsidR="00886630">
              <w:rPr>
                <w:sz w:val="18"/>
                <w:szCs w:val="18"/>
              </w:rPr>
              <w:t>age 97</w:t>
            </w:r>
          </w:p>
          <w:p w14:paraId="7A17018E" w14:textId="2B04CE13" w:rsidR="00F04D52" w:rsidRPr="004E3F12" w:rsidRDefault="00F04D52" w:rsidP="006A5734">
            <w:pPr>
              <w:rPr>
                <w:sz w:val="18"/>
                <w:szCs w:val="18"/>
              </w:rPr>
            </w:pPr>
            <w:r w:rsidRPr="004E3F12">
              <w:rPr>
                <w:sz w:val="18"/>
                <w:szCs w:val="18"/>
              </w:rPr>
              <w:t xml:space="preserve"> </w:t>
            </w:r>
          </w:p>
        </w:tc>
      </w:tr>
      <w:tr w:rsidR="00F04D52" w:rsidRPr="004E3F12" w14:paraId="7702A16C" w14:textId="77777777" w:rsidTr="00846407">
        <w:tc>
          <w:tcPr>
            <w:tcW w:w="1063" w:type="pct"/>
            <w:shd w:val="clear" w:color="auto" w:fill="9CC2E5" w:themeFill="accent1" w:themeFillTint="99"/>
          </w:tcPr>
          <w:p w14:paraId="207A9339" w14:textId="5780B8F9" w:rsidR="00F04D52" w:rsidRPr="004E3F12" w:rsidRDefault="00F04D52" w:rsidP="00F04D52">
            <w:pPr>
              <w:rPr>
                <w:b/>
                <w:sz w:val="18"/>
                <w:szCs w:val="18"/>
              </w:rPr>
            </w:pPr>
            <w:r w:rsidRPr="004E3F12">
              <w:rPr>
                <w:b/>
                <w:sz w:val="18"/>
                <w:szCs w:val="18"/>
              </w:rPr>
              <w:t>Livestock feeds and forages</w:t>
            </w:r>
          </w:p>
        </w:tc>
        <w:tc>
          <w:tcPr>
            <w:tcW w:w="2936" w:type="pct"/>
            <w:shd w:val="clear" w:color="auto" w:fill="9CC2E5" w:themeFill="accent1" w:themeFillTint="99"/>
          </w:tcPr>
          <w:p w14:paraId="196EB73E" w14:textId="77777777" w:rsidR="00F04D52" w:rsidRPr="004E3F12" w:rsidRDefault="00F04D52" w:rsidP="00F04D52">
            <w:pPr>
              <w:rPr>
                <w:sz w:val="18"/>
                <w:szCs w:val="18"/>
              </w:rPr>
            </w:pPr>
          </w:p>
        </w:tc>
        <w:tc>
          <w:tcPr>
            <w:tcW w:w="1001" w:type="pct"/>
            <w:shd w:val="clear" w:color="auto" w:fill="9CC2E5" w:themeFill="accent1" w:themeFillTint="99"/>
          </w:tcPr>
          <w:p w14:paraId="47788E94" w14:textId="77777777" w:rsidR="00F04D52" w:rsidRPr="004E3F12" w:rsidRDefault="00F04D52" w:rsidP="00F04D52">
            <w:pPr>
              <w:rPr>
                <w:sz w:val="18"/>
                <w:szCs w:val="18"/>
              </w:rPr>
            </w:pPr>
          </w:p>
        </w:tc>
      </w:tr>
      <w:tr w:rsidR="00F04D52" w:rsidRPr="004E3F12" w14:paraId="6A97F19A" w14:textId="77777777" w:rsidTr="00846407">
        <w:tc>
          <w:tcPr>
            <w:tcW w:w="1063" w:type="pct"/>
          </w:tcPr>
          <w:p w14:paraId="732B0722" w14:textId="77777777" w:rsidR="00F04D52" w:rsidRPr="004E3F12" w:rsidRDefault="00F04D52" w:rsidP="00F04D52">
            <w:pPr>
              <w:rPr>
                <w:sz w:val="18"/>
                <w:szCs w:val="18"/>
              </w:rPr>
            </w:pPr>
            <w:r w:rsidRPr="004E3F12">
              <w:rPr>
                <w:sz w:val="18"/>
                <w:szCs w:val="18"/>
              </w:rPr>
              <w:t>The science quality section focuses on tools rather than problems to be solved and a discussion of the</w:t>
            </w:r>
          </w:p>
          <w:p w14:paraId="4AE9D312" w14:textId="54BD85A8" w:rsidR="00F04D52" w:rsidRPr="004E3F12" w:rsidRDefault="00F04D52" w:rsidP="00F04D52">
            <w:pPr>
              <w:rPr>
                <w:sz w:val="18"/>
                <w:szCs w:val="18"/>
              </w:rPr>
            </w:pPr>
            <w:proofErr w:type="gramStart"/>
            <w:r w:rsidRPr="004E3F12">
              <w:rPr>
                <w:sz w:val="18"/>
                <w:szCs w:val="18"/>
              </w:rPr>
              <w:lastRenderedPageBreak/>
              <w:t>strategy</w:t>
            </w:r>
            <w:proofErr w:type="gramEnd"/>
            <w:r w:rsidRPr="004E3F12">
              <w:rPr>
                <w:sz w:val="18"/>
                <w:szCs w:val="18"/>
              </w:rPr>
              <w:t xml:space="preserve"> through which research might address these problems….. (this paragraph p9)</w:t>
            </w:r>
          </w:p>
        </w:tc>
        <w:tc>
          <w:tcPr>
            <w:tcW w:w="2936" w:type="pct"/>
            <w:vMerge w:val="restart"/>
          </w:tcPr>
          <w:p w14:paraId="4FD4AA29" w14:textId="5CE66ACD" w:rsidR="00F04D52" w:rsidRPr="004E3F12" w:rsidRDefault="00F04D52" w:rsidP="00F04D52">
            <w:pPr>
              <w:rPr>
                <w:sz w:val="18"/>
                <w:szCs w:val="18"/>
              </w:rPr>
            </w:pPr>
            <w:r w:rsidRPr="004E3F12">
              <w:rPr>
                <w:sz w:val="18"/>
                <w:szCs w:val="18"/>
              </w:rPr>
              <w:lastRenderedPageBreak/>
              <w:t xml:space="preserve">Part of the logic of the Feeds and Forages </w:t>
            </w:r>
            <w:r w:rsidR="0080437D">
              <w:rPr>
                <w:sz w:val="18"/>
                <w:szCs w:val="18"/>
              </w:rPr>
              <w:t>flagship</w:t>
            </w:r>
            <w:r w:rsidRPr="004E3F12">
              <w:rPr>
                <w:sz w:val="18"/>
                <w:szCs w:val="18"/>
              </w:rPr>
              <w:t xml:space="preserve"> is that the success of feed interventions is highly dependent on local context because of strong variation in the various factors that limit improved feeding over space and time. This is explained this more clearly in the revised proposal through adjustments to the </w:t>
            </w:r>
            <w:r w:rsidRPr="004E3F12">
              <w:rPr>
                <w:sz w:val="18"/>
                <w:szCs w:val="18"/>
              </w:rPr>
              <w:lastRenderedPageBreak/>
              <w:t>narrative in the Science Quality section and in the descriptions of Clusters 1 and 4. The prominence of tools has been toned down and explained more clearly the rationale behind the need for such tools. Clusters 2 and 3 already both address major problems with improved feed supply in smallholder systems, namely lack of appropriate genetic resources for forages and ‘full-purpose’ crops (Cluster 2) and poor efficiency in using existing feed sources optimally (Cluster 3). Cluster 4 focuses on the means to improve innovation system function around feed resources including seed supply but also other organizational interventions to allow technical advances to reach farmers at scale – this is explained more clearly in the revised narrative for Cluster 4.</w:t>
            </w:r>
          </w:p>
          <w:p w14:paraId="2C90C77B" w14:textId="77777777" w:rsidR="00F04D52" w:rsidRPr="004E3F12" w:rsidRDefault="00F04D52" w:rsidP="00F04D52">
            <w:pPr>
              <w:rPr>
                <w:sz w:val="18"/>
                <w:szCs w:val="18"/>
              </w:rPr>
            </w:pPr>
          </w:p>
          <w:p w14:paraId="367A2B69" w14:textId="33D07307" w:rsidR="00F04D52" w:rsidRPr="004E3F12" w:rsidRDefault="00F04D52" w:rsidP="0080437D">
            <w:pPr>
              <w:rPr>
                <w:sz w:val="18"/>
                <w:szCs w:val="18"/>
              </w:rPr>
            </w:pPr>
            <w:r w:rsidRPr="004E3F12">
              <w:rPr>
                <w:sz w:val="18"/>
                <w:szCs w:val="18"/>
              </w:rPr>
              <w:t xml:space="preserve">Research is certainly a strong element of any strategy to improve feed supply among smallholder farmers. The CGIAR system and partners have strong comparative advantage in developing practical improved feeding strategies and connecting these to the smallholder context. There is strong comparative advantage in forage breeding as evidenced, for example, by success with </w:t>
            </w:r>
            <w:proofErr w:type="spellStart"/>
            <w:r w:rsidRPr="004E3F12">
              <w:rPr>
                <w:sz w:val="18"/>
                <w:szCs w:val="18"/>
              </w:rPr>
              <w:t>Brachiaria</w:t>
            </w:r>
            <w:proofErr w:type="spellEnd"/>
            <w:r w:rsidRPr="004E3F12">
              <w:rPr>
                <w:sz w:val="18"/>
                <w:szCs w:val="18"/>
              </w:rPr>
              <w:t xml:space="preserve"> breeding over recent years. However, the </w:t>
            </w:r>
            <w:r w:rsidR="0080437D">
              <w:rPr>
                <w:sz w:val="18"/>
                <w:szCs w:val="18"/>
              </w:rPr>
              <w:t>flagship</w:t>
            </w:r>
            <w:r w:rsidRPr="004E3F12">
              <w:rPr>
                <w:sz w:val="18"/>
                <w:szCs w:val="18"/>
              </w:rPr>
              <w:t xml:space="preserve"> acknowledges that technical research in isolation, will not bring about transformation</w:t>
            </w:r>
            <w:r w:rsidR="00317C37" w:rsidRPr="004E3F12">
              <w:rPr>
                <w:sz w:val="18"/>
                <w:szCs w:val="18"/>
              </w:rPr>
              <w:t xml:space="preserve"> and must be continually evaluated for its application to solve constraints in the focus systems and value chains</w:t>
            </w:r>
            <w:r w:rsidRPr="004E3F12">
              <w:rPr>
                <w:sz w:val="18"/>
                <w:szCs w:val="18"/>
              </w:rPr>
              <w:t xml:space="preserve">. </w:t>
            </w:r>
            <w:r w:rsidR="00317C37" w:rsidRPr="004E3F12">
              <w:rPr>
                <w:sz w:val="18"/>
                <w:szCs w:val="18"/>
              </w:rPr>
              <w:t>Thus s</w:t>
            </w:r>
            <w:r w:rsidRPr="004E3F12">
              <w:rPr>
                <w:sz w:val="18"/>
                <w:szCs w:val="18"/>
              </w:rPr>
              <w:t>uch research needs to be connected to an intimate understanding of the system constraints within which smallholder farmers do business. Furthermore research on feeds needs to include development of prototype organizational innovations that can be taken to scale. The revised narrative for Clusters 1 and 4 makes the case that taking this broader view of research CGIAR centres and their partners do indeed show strong comparative advantage. A second source of comparative advantage is the unique opportunity to link feed improvement to the immense crop breeding capacity of CGIAR as already demonstrated by the evolving collaborations on several crops to enhance their feed value while protecting their high food yields.</w:t>
            </w:r>
          </w:p>
        </w:tc>
        <w:tc>
          <w:tcPr>
            <w:tcW w:w="1001" w:type="pct"/>
            <w:vMerge w:val="restart"/>
          </w:tcPr>
          <w:p w14:paraId="726282AB" w14:textId="77777777" w:rsidR="00EF1C50" w:rsidRDefault="00EF1C50" w:rsidP="00EF1C50">
            <w:pPr>
              <w:rPr>
                <w:sz w:val="18"/>
                <w:szCs w:val="18"/>
              </w:rPr>
            </w:pPr>
            <w:r>
              <w:rPr>
                <w:sz w:val="18"/>
                <w:szCs w:val="18"/>
              </w:rPr>
              <w:lastRenderedPageBreak/>
              <w:t>The flagship narrative has been updated as follows:</w:t>
            </w:r>
          </w:p>
          <w:p w14:paraId="483BDD2C" w14:textId="77777777" w:rsidR="00EF1C50" w:rsidRDefault="00EF1C50" w:rsidP="00EF1C50">
            <w:pPr>
              <w:rPr>
                <w:sz w:val="18"/>
                <w:szCs w:val="18"/>
              </w:rPr>
            </w:pPr>
          </w:p>
          <w:p w14:paraId="6ECBE6A4" w14:textId="57CC1319" w:rsidR="00F04D52" w:rsidRPr="004E3F12" w:rsidRDefault="00F04D52" w:rsidP="00F04D52">
            <w:pPr>
              <w:rPr>
                <w:sz w:val="18"/>
                <w:szCs w:val="18"/>
              </w:rPr>
            </w:pPr>
            <w:r w:rsidRPr="004E3F12">
              <w:rPr>
                <w:sz w:val="18"/>
                <w:szCs w:val="18"/>
              </w:rPr>
              <w:lastRenderedPageBreak/>
              <w:t>Changes to sections 2.3.1.4 and 2.3.1.6 (clusters 1 and 4), also as describe</w:t>
            </w:r>
            <w:r w:rsidR="00A76E42">
              <w:rPr>
                <w:sz w:val="18"/>
                <w:szCs w:val="18"/>
              </w:rPr>
              <w:t>d above in Table 1 for bullet 2: pages 12</w:t>
            </w:r>
            <w:r w:rsidR="00886630">
              <w:rPr>
                <w:sz w:val="18"/>
                <w:szCs w:val="18"/>
              </w:rPr>
              <w:t>3-124</w:t>
            </w:r>
            <w:r w:rsidR="00B35CFD">
              <w:rPr>
                <w:sz w:val="18"/>
                <w:szCs w:val="18"/>
              </w:rPr>
              <w:t xml:space="preserve"> and 126</w:t>
            </w:r>
            <w:r w:rsidR="00A76E42">
              <w:rPr>
                <w:sz w:val="18"/>
                <w:szCs w:val="18"/>
              </w:rPr>
              <w:t>-1</w:t>
            </w:r>
            <w:r w:rsidR="00B35CFD">
              <w:rPr>
                <w:sz w:val="18"/>
                <w:szCs w:val="18"/>
              </w:rPr>
              <w:t>30</w:t>
            </w:r>
            <w:r w:rsidR="00A76E42">
              <w:rPr>
                <w:sz w:val="18"/>
                <w:szCs w:val="18"/>
              </w:rPr>
              <w:t>.</w:t>
            </w:r>
          </w:p>
          <w:p w14:paraId="3DD68ACF" w14:textId="3697E11A" w:rsidR="00F04D52" w:rsidRPr="004E3F12" w:rsidRDefault="00F04D52" w:rsidP="00F04D52">
            <w:pPr>
              <w:rPr>
                <w:sz w:val="18"/>
                <w:szCs w:val="18"/>
              </w:rPr>
            </w:pPr>
          </w:p>
        </w:tc>
      </w:tr>
      <w:tr w:rsidR="00F04D52" w:rsidRPr="004E3F12" w14:paraId="3D7EA019" w14:textId="77777777" w:rsidTr="00846407">
        <w:tc>
          <w:tcPr>
            <w:tcW w:w="1063" w:type="pct"/>
          </w:tcPr>
          <w:p w14:paraId="2A19038B" w14:textId="77777777" w:rsidR="00F04D52" w:rsidRPr="004E3F12" w:rsidRDefault="00F04D52" w:rsidP="00F04D52">
            <w:pPr>
              <w:rPr>
                <w:sz w:val="18"/>
                <w:szCs w:val="18"/>
              </w:rPr>
            </w:pPr>
            <w:r w:rsidRPr="004E3F12">
              <w:rPr>
                <w:sz w:val="18"/>
                <w:szCs w:val="18"/>
              </w:rPr>
              <w:lastRenderedPageBreak/>
              <w:t>The main dimension of comparative advantage to consider is whether research is the relevant way to</w:t>
            </w:r>
          </w:p>
          <w:p w14:paraId="7BBE8A3F" w14:textId="1CA9B860" w:rsidR="00F04D52" w:rsidRPr="004E3F12" w:rsidRDefault="00F04D52" w:rsidP="00F04D52">
            <w:pPr>
              <w:rPr>
                <w:sz w:val="18"/>
                <w:szCs w:val="18"/>
              </w:rPr>
            </w:pPr>
            <w:proofErr w:type="gramStart"/>
            <w:r w:rsidRPr="004E3F12">
              <w:rPr>
                <w:sz w:val="18"/>
                <w:szCs w:val="18"/>
              </w:rPr>
              <w:t>deal</w:t>
            </w:r>
            <w:proofErr w:type="gramEnd"/>
            <w:r w:rsidRPr="004E3F12">
              <w:rPr>
                <w:sz w:val="18"/>
                <w:szCs w:val="18"/>
              </w:rPr>
              <w:t xml:space="preserve"> with feed and forage issues….. (this paragraph p9)</w:t>
            </w:r>
          </w:p>
        </w:tc>
        <w:tc>
          <w:tcPr>
            <w:tcW w:w="2936" w:type="pct"/>
            <w:vMerge/>
          </w:tcPr>
          <w:p w14:paraId="57CA8706" w14:textId="77777777" w:rsidR="00F04D52" w:rsidRPr="004E3F12" w:rsidRDefault="00F04D52" w:rsidP="00F04D52">
            <w:pPr>
              <w:rPr>
                <w:sz w:val="18"/>
                <w:szCs w:val="18"/>
              </w:rPr>
            </w:pPr>
          </w:p>
        </w:tc>
        <w:tc>
          <w:tcPr>
            <w:tcW w:w="1001" w:type="pct"/>
            <w:vMerge/>
          </w:tcPr>
          <w:p w14:paraId="3FB5D379" w14:textId="77777777" w:rsidR="00F04D52" w:rsidRPr="004E3F12" w:rsidRDefault="00F04D52" w:rsidP="00F04D52">
            <w:pPr>
              <w:rPr>
                <w:sz w:val="18"/>
                <w:szCs w:val="18"/>
              </w:rPr>
            </w:pPr>
          </w:p>
        </w:tc>
      </w:tr>
      <w:tr w:rsidR="00F04D52" w:rsidRPr="004E3F12" w14:paraId="391901F6" w14:textId="77777777" w:rsidTr="00846407">
        <w:tc>
          <w:tcPr>
            <w:tcW w:w="1063" w:type="pct"/>
            <w:shd w:val="clear" w:color="auto" w:fill="9CC2E5" w:themeFill="accent1" w:themeFillTint="99"/>
          </w:tcPr>
          <w:p w14:paraId="3DD0C270" w14:textId="11656C51" w:rsidR="00F04D52" w:rsidRPr="004E3F12" w:rsidRDefault="00F04D52" w:rsidP="00F04D52">
            <w:pPr>
              <w:rPr>
                <w:b/>
                <w:sz w:val="18"/>
                <w:szCs w:val="18"/>
              </w:rPr>
            </w:pPr>
            <w:r w:rsidRPr="004E3F12">
              <w:rPr>
                <w:b/>
                <w:sz w:val="18"/>
                <w:szCs w:val="18"/>
              </w:rPr>
              <w:t>Livestock and the environment</w:t>
            </w:r>
          </w:p>
        </w:tc>
        <w:tc>
          <w:tcPr>
            <w:tcW w:w="2936" w:type="pct"/>
            <w:shd w:val="clear" w:color="auto" w:fill="9CC2E5" w:themeFill="accent1" w:themeFillTint="99"/>
          </w:tcPr>
          <w:p w14:paraId="0CC016FC" w14:textId="77777777" w:rsidR="00F04D52" w:rsidRPr="004E3F12" w:rsidRDefault="00F04D52" w:rsidP="00F04D52">
            <w:pPr>
              <w:rPr>
                <w:sz w:val="18"/>
                <w:szCs w:val="18"/>
              </w:rPr>
            </w:pPr>
          </w:p>
        </w:tc>
        <w:tc>
          <w:tcPr>
            <w:tcW w:w="1001" w:type="pct"/>
            <w:shd w:val="clear" w:color="auto" w:fill="9CC2E5" w:themeFill="accent1" w:themeFillTint="99"/>
          </w:tcPr>
          <w:p w14:paraId="403E8249" w14:textId="77777777" w:rsidR="00F04D52" w:rsidRPr="004E3F12" w:rsidRDefault="00F04D52" w:rsidP="00F04D52">
            <w:pPr>
              <w:rPr>
                <w:sz w:val="18"/>
                <w:szCs w:val="18"/>
              </w:rPr>
            </w:pPr>
          </w:p>
        </w:tc>
      </w:tr>
      <w:tr w:rsidR="00F04D52" w:rsidRPr="0048128E" w14:paraId="4024A9CF" w14:textId="77777777" w:rsidTr="00846407">
        <w:tc>
          <w:tcPr>
            <w:tcW w:w="1063" w:type="pct"/>
          </w:tcPr>
          <w:p w14:paraId="40627913" w14:textId="77777777" w:rsidR="00F04D52" w:rsidRPr="004E3F12" w:rsidRDefault="00F04D52" w:rsidP="00F04D52">
            <w:pPr>
              <w:rPr>
                <w:sz w:val="18"/>
                <w:szCs w:val="18"/>
              </w:rPr>
            </w:pPr>
            <w:r w:rsidRPr="004E3F12">
              <w:rPr>
                <w:sz w:val="18"/>
                <w:szCs w:val="18"/>
              </w:rPr>
              <w:t>The proposal would be stronger</w:t>
            </w:r>
          </w:p>
          <w:p w14:paraId="6687A89B" w14:textId="1CCB96F6" w:rsidR="00F04D52" w:rsidRPr="004E3F12" w:rsidRDefault="00F04D52" w:rsidP="00F04D52">
            <w:pPr>
              <w:rPr>
                <w:sz w:val="18"/>
                <w:szCs w:val="18"/>
              </w:rPr>
            </w:pPr>
            <w:proofErr w:type="gramStart"/>
            <w:r w:rsidRPr="004E3F12">
              <w:rPr>
                <w:sz w:val="18"/>
                <w:szCs w:val="18"/>
              </w:rPr>
              <w:t>if</w:t>
            </w:r>
            <w:proofErr w:type="gramEnd"/>
            <w:r w:rsidRPr="004E3F12">
              <w:rPr>
                <w:sz w:val="18"/>
                <w:szCs w:val="18"/>
              </w:rPr>
              <w:t xml:space="preserve"> the Theory of Change better articulates how the proposed activities across clusters will amount to a greater whole. (p10)</w:t>
            </w:r>
          </w:p>
        </w:tc>
        <w:tc>
          <w:tcPr>
            <w:tcW w:w="2936" w:type="pct"/>
          </w:tcPr>
          <w:p w14:paraId="496B12AA" w14:textId="77777777" w:rsidR="00F04D52" w:rsidRPr="004E3F12" w:rsidRDefault="00F04D52" w:rsidP="00F04D52">
            <w:pPr>
              <w:rPr>
                <w:sz w:val="18"/>
                <w:szCs w:val="18"/>
              </w:rPr>
            </w:pPr>
            <w:r w:rsidRPr="004E3F12">
              <w:rPr>
                <w:sz w:val="18"/>
                <w:szCs w:val="18"/>
              </w:rPr>
              <w:t xml:space="preserve">The Environment flagship will produce outputs and outcomes that are different in scale and characteristics, and that indeed will have different outcome pathways; but this is necessary to achieve the overall desired impacts. </w:t>
            </w:r>
          </w:p>
          <w:p w14:paraId="2BB7DF8C" w14:textId="77777777" w:rsidR="00F04D52" w:rsidRPr="004E3F12" w:rsidRDefault="00F04D52" w:rsidP="00F04D52">
            <w:pPr>
              <w:rPr>
                <w:sz w:val="18"/>
                <w:szCs w:val="18"/>
              </w:rPr>
            </w:pPr>
          </w:p>
          <w:p w14:paraId="4807C4E4" w14:textId="77777777" w:rsidR="00F04D52" w:rsidRPr="004E3F12" w:rsidRDefault="00F04D52" w:rsidP="00F04D52">
            <w:pPr>
              <w:rPr>
                <w:sz w:val="18"/>
                <w:szCs w:val="18"/>
              </w:rPr>
            </w:pPr>
            <w:r w:rsidRPr="004E3F12">
              <w:rPr>
                <w:sz w:val="18"/>
                <w:szCs w:val="18"/>
              </w:rPr>
              <w:t xml:space="preserve">The challenge of introducing and implementing environmental management of livestock production systems requires interventions undertaken with multiple stakeholders and levels. Cluster 1 focuses on integrating productivity enhancing technologies with environmental issues, both the environmental footprint and the challenges that future environmental change will pose for these productivity goals. This produces greater consideration of environmental issues in livestock production, which is part of providing on-the-ground solutions to be implemented in the target locations and countries. This cluster also generates the foresight and ex-ante impact assessment information that decision makers need in Cluster 3. This cluster will target local and national solutions to the challenges of regional and global environmental change. </w:t>
            </w:r>
          </w:p>
          <w:p w14:paraId="6D194028" w14:textId="77777777" w:rsidR="00F04D52" w:rsidRPr="004E3F12" w:rsidRDefault="00F04D52" w:rsidP="00F04D52">
            <w:pPr>
              <w:rPr>
                <w:sz w:val="18"/>
                <w:szCs w:val="18"/>
              </w:rPr>
            </w:pPr>
          </w:p>
          <w:p w14:paraId="7CBF3CDB" w14:textId="77777777" w:rsidR="00F04D52" w:rsidRPr="004E3F12" w:rsidRDefault="00F04D52" w:rsidP="00F04D52">
            <w:pPr>
              <w:rPr>
                <w:sz w:val="18"/>
                <w:szCs w:val="18"/>
              </w:rPr>
            </w:pPr>
            <w:r w:rsidRPr="004E3F12">
              <w:rPr>
                <w:sz w:val="18"/>
                <w:szCs w:val="18"/>
              </w:rPr>
              <w:t xml:space="preserve">Cluster 2 narrows in to develop and implement specific technological solutions to optimize natural resource use, minimizing negative environmental footprints and enhancing positive environmental services. This is also part of providing solutions for environmental management at local and national levels.  </w:t>
            </w:r>
          </w:p>
          <w:p w14:paraId="4F8EA75A" w14:textId="77777777" w:rsidR="00F04D52" w:rsidRPr="004E3F12" w:rsidRDefault="00F04D52" w:rsidP="00F04D52">
            <w:pPr>
              <w:rPr>
                <w:sz w:val="18"/>
                <w:szCs w:val="18"/>
              </w:rPr>
            </w:pPr>
          </w:p>
          <w:p w14:paraId="2EB70309" w14:textId="77777777" w:rsidR="00F04D52" w:rsidRPr="004E3F12" w:rsidRDefault="00F04D52" w:rsidP="00F04D52">
            <w:pPr>
              <w:rPr>
                <w:sz w:val="18"/>
                <w:szCs w:val="18"/>
              </w:rPr>
            </w:pPr>
            <w:r w:rsidRPr="004E3F12">
              <w:rPr>
                <w:sz w:val="18"/>
                <w:szCs w:val="18"/>
              </w:rPr>
              <w:t xml:space="preserve">Cluster 3 recognizes that environmental management requires institutional and policy change to set in place the regulations and incentives for behaviour change. Cluster 3 both brings together and enables the outputs of Clusters 1 and 2. It also brings together the evidence and experience of the flagship to inform regional and global advocacy agendas. </w:t>
            </w:r>
          </w:p>
          <w:p w14:paraId="43A48B48" w14:textId="77777777" w:rsidR="00F04D52" w:rsidRPr="004E3F12" w:rsidRDefault="00F04D52" w:rsidP="00F04D52">
            <w:pPr>
              <w:rPr>
                <w:sz w:val="18"/>
                <w:szCs w:val="18"/>
              </w:rPr>
            </w:pPr>
          </w:p>
        </w:tc>
        <w:tc>
          <w:tcPr>
            <w:tcW w:w="1001" w:type="pct"/>
          </w:tcPr>
          <w:p w14:paraId="3BA0AEFC" w14:textId="77777777" w:rsidR="00EF1C50" w:rsidRDefault="00EF1C50" w:rsidP="00EF1C50">
            <w:pPr>
              <w:rPr>
                <w:sz w:val="18"/>
                <w:szCs w:val="18"/>
              </w:rPr>
            </w:pPr>
            <w:r>
              <w:rPr>
                <w:sz w:val="18"/>
                <w:szCs w:val="18"/>
              </w:rPr>
              <w:lastRenderedPageBreak/>
              <w:t>The flagship narrative has been updated as follows:</w:t>
            </w:r>
          </w:p>
          <w:p w14:paraId="1E65D6C3" w14:textId="77777777" w:rsidR="00EF1C50" w:rsidRDefault="00EF1C50" w:rsidP="00F04D52">
            <w:pPr>
              <w:rPr>
                <w:sz w:val="18"/>
                <w:szCs w:val="18"/>
              </w:rPr>
            </w:pPr>
          </w:p>
          <w:p w14:paraId="214DD04B" w14:textId="2E70A23E" w:rsidR="00EF1C50" w:rsidRPr="0048128E" w:rsidRDefault="00F04D52" w:rsidP="00F04D52">
            <w:pPr>
              <w:rPr>
                <w:sz w:val="18"/>
                <w:szCs w:val="18"/>
                <w:lang w:val="fr-FR"/>
              </w:rPr>
            </w:pPr>
            <w:r w:rsidRPr="0048128E">
              <w:rPr>
                <w:sz w:val="18"/>
                <w:szCs w:val="18"/>
                <w:lang w:val="fr-FR"/>
              </w:rPr>
              <w:t>Section 2.4.1.3:</w:t>
            </w:r>
            <w:r w:rsidR="00EF1C50" w:rsidRPr="0048128E">
              <w:rPr>
                <w:sz w:val="18"/>
                <w:szCs w:val="18"/>
                <w:lang w:val="fr-FR"/>
              </w:rPr>
              <w:t xml:space="preserve"> Changes on p</w:t>
            </w:r>
            <w:r w:rsidR="00B35CFD">
              <w:rPr>
                <w:sz w:val="18"/>
                <w:szCs w:val="18"/>
                <w:lang w:val="fr-FR"/>
              </w:rPr>
              <w:t>age 144</w:t>
            </w:r>
          </w:p>
          <w:p w14:paraId="49EF21B2" w14:textId="77777777" w:rsidR="00EF1C50" w:rsidRPr="0048128E" w:rsidRDefault="00EF1C50" w:rsidP="00F04D52">
            <w:pPr>
              <w:rPr>
                <w:sz w:val="18"/>
                <w:szCs w:val="18"/>
                <w:lang w:val="fr-FR"/>
              </w:rPr>
            </w:pPr>
          </w:p>
          <w:p w14:paraId="1A801EA7" w14:textId="3500448E" w:rsidR="00F04D52" w:rsidRPr="0048128E" w:rsidRDefault="00F04D52" w:rsidP="00EF1C50">
            <w:pPr>
              <w:rPr>
                <w:sz w:val="18"/>
                <w:szCs w:val="18"/>
                <w:lang w:val="fr-FR"/>
              </w:rPr>
            </w:pPr>
            <w:r w:rsidRPr="0048128E">
              <w:rPr>
                <w:sz w:val="18"/>
                <w:szCs w:val="18"/>
                <w:lang w:val="fr-FR"/>
              </w:rPr>
              <w:t xml:space="preserve">Section 2.4.1.6: </w:t>
            </w:r>
            <w:r w:rsidR="00EF1C50" w:rsidRPr="0048128E">
              <w:rPr>
                <w:sz w:val="18"/>
                <w:szCs w:val="18"/>
                <w:lang w:val="fr-FR"/>
              </w:rPr>
              <w:t>C</w:t>
            </w:r>
            <w:r w:rsidRPr="0048128E">
              <w:rPr>
                <w:sz w:val="18"/>
                <w:szCs w:val="18"/>
                <w:lang w:val="fr-FR"/>
              </w:rPr>
              <w:t>hange</w:t>
            </w:r>
            <w:r w:rsidR="00EF1C50" w:rsidRPr="0048128E">
              <w:rPr>
                <w:sz w:val="18"/>
                <w:szCs w:val="18"/>
                <w:lang w:val="fr-FR"/>
              </w:rPr>
              <w:t>s on</w:t>
            </w:r>
            <w:r w:rsidRPr="0048128E">
              <w:rPr>
                <w:sz w:val="18"/>
                <w:szCs w:val="18"/>
                <w:lang w:val="fr-FR"/>
              </w:rPr>
              <w:t xml:space="preserve"> page 1</w:t>
            </w:r>
            <w:r w:rsidR="00B35CFD">
              <w:rPr>
                <w:sz w:val="18"/>
                <w:szCs w:val="18"/>
                <w:lang w:val="fr-FR"/>
              </w:rPr>
              <w:t>51</w:t>
            </w:r>
          </w:p>
        </w:tc>
      </w:tr>
      <w:tr w:rsidR="00F04D52" w:rsidRPr="004E3F12" w14:paraId="69A50814" w14:textId="77777777" w:rsidTr="00846407">
        <w:tc>
          <w:tcPr>
            <w:tcW w:w="1063" w:type="pct"/>
          </w:tcPr>
          <w:p w14:paraId="3F54276A" w14:textId="77777777" w:rsidR="00F04D52" w:rsidRPr="004E3F12" w:rsidRDefault="00F04D52" w:rsidP="00F04D52">
            <w:pPr>
              <w:rPr>
                <w:sz w:val="18"/>
                <w:szCs w:val="18"/>
              </w:rPr>
            </w:pPr>
            <w:r w:rsidRPr="004E3F12">
              <w:rPr>
                <w:sz w:val="18"/>
                <w:szCs w:val="18"/>
              </w:rPr>
              <w:lastRenderedPageBreak/>
              <w:t>A discussion of how the results from various Flagships will be brought</w:t>
            </w:r>
          </w:p>
          <w:p w14:paraId="1A78E6FA" w14:textId="77777777" w:rsidR="00F04D52" w:rsidRPr="004E3F12" w:rsidRDefault="00F04D52" w:rsidP="00F04D52">
            <w:pPr>
              <w:rPr>
                <w:sz w:val="18"/>
                <w:szCs w:val="18"/>
              </w:rPr>
            </w:pPr>
            <w:r w:rsidRPr="004E3F12">
              <w:rPr>
                <w:sz w:val="18"/>
                <w:szCs w:val="18"/>
              </w:rPr>
              <w:t>together to assess trade-offs and implications for achieving CRP objectives and assess trade-offs</w:t>
            </w:r>
          </w:p>
          <w:p w14:paraId="17F4AE7C" w14:textId="2B41B3A7" w:rsidR="00F04D52" w:rsidRPr="004E3F12" w:rsidRDefault="00F04D52" w:rsidP="00F04D52">
            <w:pPr>
              <w:rPr>
                <w:sz w:val="18"/>
                <w:szCs w:val="18"/>
              </w:rPr>
            </w:pPr>
            <w:proofErr w:type="gramStart"/>
            <w:r w:rsidRPr="004E3F12">
              <w:rPr>
                <w:sz w:val="18"/>
                <w:szCs w:val="18"/>
              </w:rPr>
              <w:t>would</w:t>
            </w:r>
            <w:proofErr w:type="gramEnd"/>
            <w:r w:rsidRPr="004E3F12">
              <w:rPr>
                <w:sz w:val="18"/>
                <w:szCs w:val="18"/>
              </w:rPr>
              <w:t xml:space="preserve"> also strengthen the proposal. (p10)</w:t>
            </w:r>
          </w:p>
        </w:tc>
        <w:tc>
          <w:tcPr>
            <w:tcW w:w="2936" w:type="pct"/>
          </w:tcPr>
          <w:p w14:paraId="20D67683" w14:textId="48EF3E6C" w:rsidR="00F04D52" w:rsidRPr="004E3F12" w:rsidRDefault="00F04D52" w:rsidP="00846407">
            <w:pPr>
              <w:rPr>
                <w:sz w:val="18"/>
                <w:szCs w:val="18"/>
              </w:rPr>
            </w:pPr>
            <w:r w:rsidRPr="004E3F12">
              <w:rPr>
                <w:sz w:val="18"/>
                <w:szCs w:val="18"/>
              </w:rPr>
              <w:t xml:space="preserve">As discussed in the response to Bullet 3 in Table 1, </w:t>
            </w:r>
            <w:r w:rsidR="00846407">
              <w:rPr>
                <w:sz w:val="18"/>
                <w:szCs w:val="18"/>
              </w:rPr>
              <w:t>the Environment flagship</w:t>
            </w:r>
            <w:r w:rsidRPr="004E3F12">
              <w:rPr>
                <w:sz w:val="18"/>
                <w:szCs w:val="18"/>
              </w:rPr>
              <w:t xml:space="preserve"> uses a systems approach (along with </w:t>
            </w:r>
            <w:r w:rsidR="00846407">
              <w:rPr>
                <w:sz w:val="18"/>
                <w:szCs w:val="18"/>
              </w:rPr>
              <w:t>LLAFS</w:t>
            </w:r>
            <w:r w:rsidRPr="004E3F12">
              <w:rPr>
                <w:sz w:val="18"/>
                <w:szCs w:val="18"/>
              </w:rPr>
              <w:t xml:space="preserve">) to address trade-offs among multiple objectives.  Such trade-off analysis will be important for selecting specific environmental management solutions, but also for designing policies and regulations aimed at stimulating better environmental management of livestock production. </w:t>
            </w:r>
          </w:p>
        </w:tc>
        <w:tc>
          <w:tcPr>
            <w:tcW w:w="1001" w:type="pct"/>
          </w:tcPr>
          <w:p w14:paraId="5E8D3131" w14:textId="16AE2FDF" w:rsidR="00F04D52" w:rsidRPr="004E3F12" w:rsidRDefault="00F04D52" w:rsidP="00F04D52">
            <w:pPr>
              <w:rPr>
                <w:sz w:val="18"/>
                <w:szCs w:val="18"/>
              </w:rPr>
            </w:pPr>
            <w:r w:rsidRPr="004E3F12">
              <w:rPr>
                <w:sz w:val="18"/>
                <w:szCs w:val="18"/>
              </w:rPr>
              <w:t xml:space="preserve">Narrative adjustments as described in bullet 3 in Table 1. </w:t>
            </w:r>
          </w:p>
        </w:tc>
      </w:tr>
      <w:tr w:rsidR="00F04D52" w:rsidRPr="004E3F12" w14:paraId="59711D8C" w14:textId="77777777" w:rsidTr="00846407">
        <w:tc>
          <w:tcPr>
            <w:tcW w:w="1063" w:type="pct"/>
          </w:tcPr>
          <w:p w14:paraId="4B713E17" w14:textId="77777777" w:rsidR="00F04D52" w:rsidRPr="004E3F12" w:rsidRDefault="00F04D52" w:rsidP="00F04D52">
            <w:pPr>
              <w:rPr>
                <w:sz w:val="18"/>
                <w:szCs w:val="18"/>
              </w:rPr>
            </w:pPr>
            <w:r w:rsidRPr="004E3F12">
              <w:rPr>
                <w:sz w:val="18"/>
                <w:szCs w:val="18"/>
              </w:rPr>
              <w:t>Then, the question of how specific activities (e.g., improvement in</w:t>
            </w:r>
          </w:p>
          <w:p w14:paraId="0F63ADDE" w14:textId="5267DE68" w:rsidR="00F04D52" w:rsidRPr="004E3F12" w:rsidRDefault="00F04D52" w:rsidP="00F04D52">
            <w:pPr>
              <w:rPr>
                <w:sz w:val="18"/>
                <w:szCs w:val="18"/>
              </w:rPr>
            </w:pPr>
            <w:proofErr w:type="gramStart"/>
            <w:r w:rsidRPr="004E3F12">
              <w:rPr>
                <w:sz w:val="18"/>
                <w:szCs w:val="18"/>
              </w:rPr>
              <w:t>emission</w:t>
            </w:r>
            <w:proofErr w:type="gramEnd"/>
            <w:r w:rsidRPr="004E3F12">
              <w:rPr>
                <w:sz w:val="18"/>
                <w:szCs w:val="18"/>
              </w:rPr>
              <w:t xml:space="preserve"> measures) will contribute to the larger CRP/CGIAR objectives, beyond potentially contributing to IPCC processes through the introduction of new emissions factors, remains. (p10)</w:t>
            </w:r>
          </w:p>
        </w:tc>
        <w:tc>
          <w:tcPr>
            <w:tcW w:w="2936" w:type="pct"/>
          </w:tcPr>
          <w:p w14:paraId="33AAEC50" w14:textId="48230D51" w:rsidR="00F04D52" w:rsidRPr="004E3F12" w:rsidRDefault="00846407" w:rsidP="00F04D52">
            <w:pPr>
              <w:rPr>
                <w:sz w:val="18"/>
                <w:szCs w:val="18"/>
              </w:rPr>
            </w:pPr>
            <w:r>
              <w:rPr>
                <w:sz w:val="18"/>
                <w:szCs w:val="18"/>
              </w:rPr>
              <w:t>The TOC diagram on page 146</w:t>
            </w:r>
            <w:r w:rsidR="00F04D52" w:rsidRPr="004E3F12">
              <w:rPr>
                <w:sz w:val="18"/>
                <w:szCs w:val="18"/>
              </w:rPr>
              <w:t xml:space="preserve"> indicates how the research outcomes contribute to sub-IDOs, of which there are seven to which this flagship contributes. </w:t>
            </w:r>
          </w:p>
          <w:p w14:paraId="3F3877A1" w14:textId="77777777" w:rsidR="00F04D52" w:rsidRPr="004E3F12" w:rsidRDefault="00F04D52" w:rsidP="00F04D52">
            <w:pPr>
              <w:rPr>
                <w:sz w:val="18"/>
                <w:szCs w:val="18"/>
              </w:rPr>
            </w:pPr>
          </w:p>
          <w:p w14:paraId="745228A9" w14:textId="77777777" w:rsidR="00F04D52" w:rsidRPr="004E3F12" w:rsidRDefault="00F04D52" w:rsidP="00F04D52">
            <w:pPr>
              <w:rPr>
                <w:sz w:val="18"/>
                <w:szCs w:val="18"/>
              </w:rPr>
            </w:pPr>
            <w:r w:rsidRPr="004E3F12">
              <w:rPr>
                <w:sz w:val="18"/>
                <w:szCs w:val="18"/>
              </w:rPr>
              <w:t xml:space="preserve">For example, Land and Water Degradation will be addressed through all three clusters: under Cluster 1 the potential impact of productivity enhancing technologies on land and water resources will be assessed and the information fed back to the technology flagships. Under Cluster 2, partners and beneficiaries will implement specific solutions to reduce the impact of livestock production on land and water degradation, and where possible use livestock production to improve land and water management. Under Cluster 3, the focus is on specific policies and institutional arrangements to increase/ enable more widespread implementation of practices to reverse land and water degradation, specifically improving/ strengthening land tenure arrangements and schemes for payments for ecosystem services. </w:t>
            </w:r>
          </w:p>
          <w:p w14:paraId="0EEEDF0C" w14:textId="77777777" w:rsidR="00F04D52" w:rsidRPr="004E3F12" w:rsidRDefault="00F04D52" w:rsidP="00F04D52">
            <w:pPr>
              <w:rPr>
                <w:sz w:val="18"/>
                <w:szCs w:val="18"/>
              </w:rPr>
            </w:pPr>
          </w:p>
          <w:p w14:paraId="59F27452" w14:textId="7CEF8860" w:rsidR="00F04D52" w:rsidRPr="004E3F12" w:rsidRDefault="00F04D52" w:rsidP="00F04D52">
            <w:pPr>
              <w:rPr>
                <w:sz w:val="18"/>
                <w:szCs w:val="18"/>
              </w:rPr>
            </w:pPr>
            <w:r w:rsidRPr="004E3F12">
              <w:rPr>
                <w:sz w:val="18"/>
                <w:szCs w:val="18"/>
              </w:rPr>
              <w:t>A similar multi-cluster approach applies to the other six sub-IDOs.</w:t>
            </w:r>
          </w:p>
        </w:tc>
        <w:tc>
          <w:tcPr>
            <w:tcW w:w="1001" w:type="pct"/>
          </w:tcPr>
          <w:p w14:paraId="716963C9" w14:textId="77777777" w:rsidR="00EF1C50" w:rsidRDefault="00EF1C50" w:rsidP="00EF1C50">
            <w:pPr>
              <w:rPr>
                <w:sz w:val="18"/>
                <w:szCs w:val="18"/>
              </w:rPr>
            </w:pPr>
            <w:r>
              <w:rPr>
                <w:sz w:val="18"/>
                <w:szCs w:val="18"/>
              </w:rPr>
              <w:t>The flagship narrative has been updated as follows:</w:t>
            </w:r>
          </w:p>
          <w:p w14:paraId="7325FFAA" w14:textId="77777777" w:rsidR="00EF1C50" w:rsidRDefault="00EF1C50" w:rsidP="00F04D52">
            <w:pPr>
              <w:rPr>
                <w:sz w:val="18"/>
                <w:szCs w:val="18"/>
              </w:rPr>
            </w:pPr>
          </w:p>
          <w:p w14:paraId="6D7EE0CE" w14:textId="13BB5DCC" w:rsidR="00EF1C50" w:rsidRPr="004E3F12" w:rsidRDefault="00F04D52" w:rsidP="00EF1C50">
            <w:pPr>
              <w:rPr>
                <w:sz w:val="18"/>
                <w:szCs w:val="18"/>
              </w:rPr>
            </w:pPr>
            <w:r w:rsidRPr="004E3F12">
              <w:rPr>
                <w:sz w:val="18"/>
                <w:szCs w:val="18"/>
              </w:rPr>
              <w:t>Section 2.4.1.6: Narrative modified to strengthen these points</w:t>
            </w:r>
            <w:r w:rsidR="00B35CFD">
              <w:rPr>
                <w:sz w:val="18"/>
                <w:szCs w:val="18"/>
              </w:rPr>
              <w:t>: page 151</w:t>
            </w:r>
          </w:p>
          <w:p w14:paraId="378328C9" w14:textId="73FFB7E0" w:rsidR="00F04D52" w:rsidRPr="004E3F12" w:rsidRDefault="00F04D52" w:rsidP="00F04D52">
            <w:pPr>
              <w:rPr>
                <w:sz w:val="18"/>
                <w:szCs w:val="18"/>
              </w:rPr>
            </w:pPr>
            <w:r w:rsidRPr="004E3F12">
              <w:rPr>
                <w:sz w:val="18"/>
                <w:szCs w:val="18"/>
              </w:rPr>
              <w:t xml:space="preserve"> </w:t>
            </w:r>
          </w:p>
          <w:p w14:paraId="3DC07ADD" w14:textId="77777777" w:rsidR="00F04D52" w:rsidRPr="004E3F12" w:rsidRDefault="00F04D52" w:rsidP="00F04D52">
            <w:pPr>
              <w:rPr>
                <w:sz w:val="18"/>
                <w:szCs w:val="18"/>
              </w:rPr>
            </w:pPr>
          </w:p>
          <w:p w14:paraId="45654767" w14:textId="0C4FD3D9" w:rsidR="00F04D52" w:rsidRPr="004E3F12" w:rsidRDefault="00F04D52" w:rsidP="00F04D52">
            <w:pPr>
              <w:rPr>
                <w:sz w:val="18"/>
                <w:szCs w:val="18"/>
              </w:rPr>
            </w:pPr>
          </w:p>
        </w:tc>
      </w:tr>
      <w:tr w:rsidR="00F04D52" w:rsidRPr="004E3F12" w14:paraId="04AAB5D9" w14:textId="77777777" w:rsidTr="00846407">
        <w:tc>
          <w:tcPr>
            <w:tcW w:w="1063" w:type="pct"/>
          </w:tcPr>
          <w:p w14:paraId="6B3F0E5A" w14:textId="77777777" w:rsidR="00F04D52" w:rsidRPr="004E3F12" w:rsidRDefault="00F04D52" w:rsidP="00F04D52">
            <w:pPr>
              <w:rPr>
                <w:sz w:val="18"/>
                <w:szCs w:val="18"/>
              </w:rPr>
            </w:pPr>
            <w:r w:rsidRPr="004E3F12">
              <w:rPr>
                <w:sz w:val="18"/>
                <w:szCs w:val="18"/>
              </w:rPr>
              <w:t>While the importance of adapting to climate change is mentioned frequently as one of the important</w:t>
            </w:r>
          </w:p>
          <w:p w14:paraId="6D168FAC" w14:textId="263C5621" w:rsidR="00F04D52" w:rsidRPr="004E3F12" w:rsidRDefault="00F04D52" w:rsidP="00F04D52">
            <w:pPr>
              <w:rPr>
                <w:sz w:val="18"/>
                <w:szCs w:val="18"/>
              </w:rPr>
            </w:pPr>
            <w:proofErr w:type="gramStart"/>
            <w:r w:rsidRPr="004E3F12">
              <w:rPr>
                <w:sz w:val="18"/>
                <w:szCs w:val="18"/>
              </w:rPr>
              <w:t>justifications</w:t>
            </w:r>
            <w:proofErr w:type="gramEnd"/>
            <w:r w:rsidRPr="004E3F12">
              <w:rPr>
                <w:sz w:val="18"/>
                <w:szCs w:val="18"/>
              </w:rPr>
              <w:t xml:space="preserve"> for </w:t>
            </w:r>
            <w:r w:rsidR="0080437D">
              <w:rPr>
                <w:sz w:val="18"/>
                <w:szCs w:val="18"/>
              </w:rPr>
              <w:t>the Environment flagship</w:t>
            </w:r>
            <w:r w:rsidRPr="004E3F12">
              <w:rPr>
                <w:sz w:val="18"/>
                <w:szCs w:val="18"/>
              </w:rPr>
              <w:t>, detail on strategies and potential approaches is lacking. The focus appears to</w:t>
            </w:r>
          </w:p>
          <w:p w14:paraId="50930A08" w14:textId="1592B8CA" w:rsidR="00F04D52" w:rsidRPr="004E3F12" w:rsidRDefault="00F04D52" w:rsidP="00F04D52">
            <w:pPr>
              <w:rPr>
                <w:sz w:val="18"/>
                <w:szCs w:val="18"/>
              </w:rPr>
            </w:pPr>
            <w:r w:rsidRPr="004E3F12">
              <w:rPr>
                <w:sz w:val="18"/>
                <w:szCs w:val="18"/>
              </w:rPr>
              <w:t>remain on mitigation, or adaptation at a national level (Uganda and pig value chain) (p10)</w:t>
            </w:r>
          </w:p>
        </w:tc>
        <w:tc>
          <w:tcPr>
            <w:tcW w:w="2936" w:type="pct"/>
          </w:tcPr>
          <w:p w14:paraId="33F4B856" w14:textId="2E9249AE" w:rsidR="00F04D52" w:rsidRPr="004E3F12" w:rsidRDefault="00F04D52" w:rsidP="0080437D">
            <w:pPr>
              <w:rPr>
                <w:sz w:val="18"/>
                <w:szCs w:val="18"/>
              </w:rPr>
            </w:pPr>
            <w:r w:rsidRPr="004E3F12">
              <w:rPr>
                <w:sz w:val="18"/>
                <w:szCs w:val="18"/>
              </w:rPr>
              <w:t xml:space="preserve">The role of this flagship is to work with the other flagships to develop and implement interventions that help livestock production systems adapt to climate change. Adaptation to climate change is not the remit exclusively of </w:t>
            </w:r>
            <w:r w:rsidR="00846407">
              <w:rPr>
                <w:sz w:val="18"/>
                <w:szCs w:val="18"/>
              </w:rPr>
              <w:t>this flagship</w:t>
            </w:r>
            <w:r w:rsidRPr="004E3F12">
              <w:rPr>
                <w:sz w:val="18"/>
                <w:szCs w:val="18"/>
              </w:rPr>
              <w:t xml:space="preserve">. </w:t>
            </w:r>
            <w:r w:rsidR="00846407">
              <w:rPr>
                <w:sz w:val="18"/>
                <w:szCs w:val="18"/>
              </w:rPr>
              <w:t>It</w:t>
            </w:r>
            <w:r w:rsidRPr="004E3F12">
              <w:rPr>
                <w:sz w:val="18"/>
                <w:szCs w:val="18"/>
              </w:rPr>
              <w:t xml:space="preserve"> provides information about the likely impacts of climate change that each of the other flagships will use. So the technology flagships will be responsible for using the information from </w:t>
            </w:r>
            <w:r w:rsidR="0080437D">
              <w:rPr>
                <w:sz w:val="18"/>
                <w:szCs w:val="18"/>
              </w:rPr>
              <w:t>the Environment flagship</w:t>
            </w:r>
            <w:r w:rsidRPr="004E3F12">
              <w:rPr>
                <w:sz w:val="18"/>
                <w:szCs w:val="18"/>
              </w:rPr>
              <w:t xml:space="preserve"> to modify/ adapt their interventions to account for the impacts of climate change on livestock production systems and environments. Much of the household and community adaptation of livelihood strategies will be implemented through</w:t>
            </w:r>
            <w:r w:rsidR="00846407">
              <w:rPr>
                <w:sz w:val="18"/>
                <w:szCs w:val="18"/>
              </w:rPr>
              <w:t xml:space="preserve"> the LLAFS flagship</w:t>
            </w:r>
            <w:r w:rsidRPr="004E3F12">
              <w:rPr>
                <w:sz w:val="18"/>
                <w:szCs w:val="18"/>
              </w:rPr>
              <w:t xml:space="preserve">. This adaptation will happen at multiple levels, from local to national. </w:t>
            </w:r>
          </w:p>
        </w:tc>
        <w:tc>
          <w:tcPr>
            <w:tcW w:w="1001" w:type="pct"/>
          </w:tcPr>
          <w:p w14:paraId="343DF281" w14:textId="77777777" w:rsidR="00EF1C50" w:rsidRDefault="00EF1C50" w:rsidP="00EF1C50">
            <w:pPr>
              <w:rPr>
                <w:sz w:val="18"/>
                <w:szCs w:val="18"/>
              </w:rPr>
            </w:pPr>
            <w:r>
              <w:rPr>
                <w:sz w:val="18"/>
                <w:szCs w:val="18"/>
              </w:rPr>
              <w:t>The flagship narrative has been updated as follows:</w:t>
            </w:r>
          </w:p>
          <w:p w14:paraId="478D0885" w14:textId="77777777" w:rsidR="00EF1C50" w:rsidRDefault="00EF1C50" w:rsidP="00F4070F">
            <w:pPr>
              <w:rPr>
                <w:sz w:val="18"/>
                <w:szCs w:val="18"/>
              </w:rPr>
            </w:pPr>
          </w:p>
          <w:p w14:paraId="4E509681" w14:textId="1C84EF28" w:rsidR="00F04D52" w:rsidRPr="004E3F12" w:rsidRDefault="00F04D52" w:rsidP="00EF1C50">
            <w:pPr>
              <w:rPr>
                <w:sz w:val="18"/>
                <w:szCs w:val="18"/>
              </w:rPr>
            </w:pPr>
            <w:r w:rsidRPr="004E3F12">
              <w:rPr>
                <w:sz w:val="18"/>
                <w:szCs w:val="18"/>
              </w:rPr>
              <w:t xml:space="preserve">Section 2.4.1.6: </w:t>
            </w:r>
            <w:r w:rsidR="00EF1C50">
              <w:rPr>
                <w:sz w:val="18"/>
                <w:szCs w:val="18"/>
              </w:rPr>
              <w:t xml:space="preserve">Changes on </w:t>
            </w:r>
            <w:r w:rsidR="00B35CFD">
              <w:rPr>
                <w:sz w:val="18"/>
                <w:szCs w:val="18"/>
              </w:rPr>
              <w:t>page 151</w:t>
            </w:r>
          </w:p>
        </w:tc>
      </w:tr>
      <w:tr w:rsidR="00F04D52" w:rsidRPr="004E3F12" w14:paraId="144E5CD2" w14:textId="77777777" w:rsidTr="00846407">
        <w:tc>
          <w:tcPr>
            <w:tcW w:w="1063" w:type="pct"/>
          </w:tcPr>
          <w:p w14:paraId="240EF749" w14:textId="1E04D170" w:rsidR="00F04D52" w:rsidRPr="004E3F12" w:rsidRDefault="00F04D52" w:rsidP="00F04D52">
            <w:pPr>
              <w:rPr>
                <w:sz w:val="18"/>
                <w:szCs w:val="18"/>
              </w:rPr>
            </w:pPr>
            <w:r w:rsidRPr="004E3F12">
              <w:rPr>
                <w:sz w:val="18"/>
                <w:szCs w:val="18"/>
              </w:rPr>
              <w:t>Hence, the narrative on how things have changed or have been dropped on the basis of past learning could be strengthened (p11)</w:t>
            </w:r>
          </w:p>
        </w:tc>
        <w:tc>
          <w:tcPr>
            <w:tcW w:w="2936" w:type="pct"/>
          </w:tcPr>
          <w:p w14:paraId="649F5DEB" w14:textId="2438CD40" w:rsidR="00F04D52" w:rsidRPr="004E3F12" w:rsidRDefault="00F04D52" w:rsidP="00F04D52">
            <w:pPr>
              <w:rPr>
                <w:sz w:val="18"/>
                <w:szCs w:val="18"/>
              </w:rPr>
            </w:pPr>
            <w:r w:rsidRPr="004E3F12">
              <w:rPr>
                <w:sz w:val="18"/>
                <w:szCs w:val="18"/>
              </w:rPr>
              <w:t xml:space="preserve">Previous work under the Challenge Programme for Water and Food (Peden </w:t>
            </w:r>
            <w:r w:rsidR="00464D98" w:rsidRPr="004E3F12">
              <w:rPr>
                <w:i/>
                <w:sz w:val="18"/>
                <w:szCs w:val="18"/>
              </w:rPr>
              <w:t>et al.,</w:t>
            </w:r>
            <w:r w:rsidRPr="004E3F12">
              <w:rPr>
                <w:sz w:val="18"/>
                <w:szCs w:val="18"/>
              </w:rPr>
              <w:t xml:space="preserve"> 2009)</w:t>
            </w:r>
            <w:r w:rsidR="00606BA5">
              <w:rPr>
                <w:sz w:val="18"/>
                <w:szCs w:val="18"/>
              </w:rPr>
              <w:t xml:space="preserve"> </w:t>
            </w:r>
            <w:r w:rsidRPr="004E3F12">
              <w:rPr>
                <w:sz w:val="18"/>
                <w:szCs w:val="18"/>
              </w:rPr>
              <w:t xml:space="preserve">documented that livestock production has a significant impact on water quality and quantity (use). This justifies the work on water. In terms of land degradation and soil quality, the need to quantify many of the environmental </w:t>
            </w:r>
            <w:r w:rsidRPr="004E3F12">
              <w:rPr>
                <w:sz w:val="18"/>
                <w:szCs w:val="18"/>
              </w:rPr>
              <w:lastRenderedPageBreak/>
              <w:t xml:space="preserve">impacts of production technologies is noted, with fodder/ forage being and excellent example. Improved manure management and rangeland management are two more. </w:t>
            </w:r>
          </w:p>
          <w:p w14:paraId="50E2F376" w14:textId="77777777" w:rsidR="00F04D52" w:rsidRPr="00606BA5" w:rsidRDefault="00F04D52" w:rsidP="00F04D52">
            <w:pPr>
              <w:rPr>
                <w:sz w:val="18"/>
                <w:szCs w:val="18"/>
              </w:rPr>
            </w:pPr>
          </w:p>
          <w:p w14:paraId="646A82F4" w14:textId="77777777" w:rsidR="00606BA5" w:rsidRDefault="00606BA5" w:rsidP="00F04D52">
            <w:pPr>
              <w:rPr>
                <w:sz w:val="18"/>
                <w:szCs w:val="18"/>
              </w:rPr>
            </w:pPr>
            <w:r>
              <w:rPr>
                <w:sz w:val="18"/>
                <w:szCs w:val="18"/>
              </w:rPr>
              <w:t>References</w:t>
            </w:r>
          </w:p>
          <w:p w14:paraId="4B9F1AE1" w14:textId="77777777" w:rsidR="00606BA5" w:rsidRDefault="00606BA5" w:rsidP="00F04D52">
            <w:pPr>
              <w:rPr>
                <w:sz w:val="18"/>
                <w:szCs w:val="18"/>
              </w:rPr>
            </w:pPr>
          </w:p>
          <w:p w14:paraId="6D3180DC" w14:textId="2AAC7F8E" w:rsidR="00F04D52" w:rsidRPr="004E3F12" w:rsidRDefault="00606BA5" w:rsidP="00F04D52">
            <w:pPr>
              <w:rPr>
                <w:sz w:val="18"/>
                <w:szCs w:val="18"/>
              </w:rPr>
            </w:pPr>
            <w:r w:rsidRPr="00606BA5">
              <w:rPr>
                <w:sz w:val="18"/>
                <w:szCs w:val="18"/>
              </w:rPr>
              <w:t xml:space="preserve">Peden, D., Alemayehu, M., Amede, T., </w:t>
            </w:r>
            <w:proofErr w:type="spellStart"/>
            <w:r w:rsidRPr="00606BA5">
              <w:rPr>
                <w:sz w:val="18"/>
                <w:szCs w:val="18"/>
              </w:rPr>
              <w:t>Awulachew</w:t>
            </w:r>
            <w:proofErr w:type="spellEnd"/>
            <w:r w:rsidRPr="00606BA5">
              <w:rPr>
                <w:sz w:val="18"/>
                <w:szCs w:val="18"/>
              </w:rPr>
              <w:t xml:space="preserve">, S.B., </w:t>
            </w:r>
            <w:proofErr w:type="spellStart"/>
            <w:r w:rsidRPr="00606BA5">
              <w:rPr>
                <w:sz w:val="18"/>
                <w:szCs w:val="18"/>
              </w:rPr>
              <w:t>Faki</w:t>
            </w:r>
            <w:proofErr w:type="spellEnd"/>
            <w:r w:rsidRPr="00606BA5">
              <w:rPr>
                <w:sz w:val="18"/>
                <w:szCs w:val="18"/>
              </w:rPr>
              <w:t xml:space="preserve">, H., Haileslassie, A., Herrero, M., </w:t>
            </w:r>
            <w:proofErr w:type="spellStart"/>
            <w:r w:rsidRPr="00606BA5">
              <w:rPr>
                <w:sz w:val="18"/>
                <w:szCs w:val="18"/>
              </w:rPr>
              <w:t>Mapezda</w:t>
            </w:r>
            <w:proofErr w:type="spellEnd"/>
            <w:r w:rsidRPr="00606BA5">
              <w:rPr>
                <w:sz w:val="18"/>
                <w:szCs w:val="18"/>
              </w:rPr>
              <w:t xml:space="preserve">, E., </w:t>
            </w:r>
            <w:proofErr w:type="spellStart"/>
            <w:r w:rsidRPr="00606BA5">
              <w:rPr>
                <w:sz w:val="18"/>
                <w:szCs w:val="18"/>
              </w:rPr>
              <w:t>Mpairwe</w:t>
            </w:r>
            <w:proofErr w:type="spellEnd"/>
            <w:r w:rsidRPr="00606BA5">
              <w:rPr>
                <w:sz w:val="18"/>
                <w:szCs w:val="18"/>
              </w:rPr>
              <w:t xml:space="preserve">, D., Musa, M.T., Taddesse, G. and </w:t>
            </w:r>
            <w:proofErr w:type="spellStart"/>
            <w:r w:rsidRPr="00606BA5">
              <w:rPr>
                <w:sz w:val="18"/>
                <w:szCs w:val="18"/>
              </w:rPr>
              <w:t>Breugel</w:t>
            </w:r>
            <w:proofErr w:type="spellEnd"/>
            <w:r w:rsidRPr="00606BA5">
              <w:rPr>
                <w:sz w:val="18"/>
                <w:szCs w:val="18"/>
              </w:rPr>
              <w:t>, P. van. 2009. Nile basin livestock water productivity. Colombo, Sri Lanka: CGIAR Challenge Program on Water and Food</w:t>
            </w:r>
          </w:p>
        </w:tc>
        <w:tc>
          <w:tcPr>
            <w:tcW w:w="1001" w:type="pct"/>
          </w:tcPr>
          <w:p w14:paraId="73D10535" w14:textId="77777777" w:rsidR="00EF1C50" w:rsidRDefault="00EF1C50" w:rsidP="00EF1C50">
            <w:pPr>
              <w:rPr>
                <w:sz w:val="18"/>
                <w:szCs w:val="18"/>
              </w:rPr>
            </w:pPr>
            <w:r>
              <w:rPr>
                <w:sz w:val="18"/>
                <w:szCs w:val="18"/>
              </w:rPr>
              <w:lastRenderedPageBreak/>
              <w:t>The flagship narrative has been updated as follows:</w:t>
            </w:r>
          </w:p>
          <w:p w14:paraId="31D6FCE9" w14:textId="77777777" w:rsidR="00606BA5" w:rsidRDefault="00606BA5" w:rsidP="00EF1C50">
            <w:pPr>
              <w:rPr>
                <w:sz w:val="18"/>
                <w:szCs w:val="18"/>
              </w:rPr>
            </w:pPr>
          </w:p>
          <w:p w14:paraId="1F2973DB" w14:textId="1238C257" w:rsidR="00F04D52" w:rsidRPr="004E3F12" w:rsidRDefault="00F04D52" w:rsidP="00EF1C50">
            <w:pPr>
              <w:rPr>
                <w:sz w:val="18"/>
                <w:szCs w:val="18"/>
              </w:rPr>
            </w:pPr>
            <w:r w:rsidRPr="004E3F12">
              <w:rPr>
                <w:sz w:val="18"/>
                <w:szCs w:val="18"/>
              </w:rPr>
              <w:lastRenderedPageBreak/>
              <w:t>Section 2.4.1.5:</w:t>
            </w:r>
            <w:r w:rsidR="00EF1C50">
              <w:rPr>
                <w:sz w:val="18"/>
                <w:szCs w:val="18"/>
              </w:rPr>
              <w:t xml:space="preserve"> Changes on p</w:t>
            </w:r>
            <w:r w:rsidR="00B35CFD">
              <w:rPr>
                <w:sz w:val="18"/>
                <w:szCs w:val="18"/>
              </w:rPr>
              <w:t>age 150</w:t>
            </w:r>
          </w:p>
        </w:tc>
      </w:tr>
      <w:tr w:rsidR="00F04D52" w:rsidRPr="004E3F12" w14:paraId="5F3473B3" w14:textId="77777777" w:rsidTr="00846407">
        <w:tc>
          <w:tcPr>
            <w:tcW w:w="1063" w:type="pct"/>
          </w:tcPr>
          <w:p w14:paraId="1D4BA9FA" w14:textId="0CAE0144" w:rsidR="00F04D52" w:rsidRPr="004E3F12" w:rsidRDefault="00F04D52" w:rsidP="0080437D">
            <w:pPr>
              <w:rPr>
                <w:sz w:val="18"/>
                <w:szCs w:val="18"/>
              </w:rPr>
            </w:pPr>
            <w:r w:rsidRPr="004E3F12">
              <w:rPr>
                <w:sz w:val="18"/>
                <w:szCs w:val="18"/>
              </w:rPr>
              <w:lastRenderedPageBreak/>
              <w:t xml:space="preserve">External research partners seem appropriate, but information on roles of partners in the </w:t>
            </w:r>
            <w:r w:rsidR="0080437D">
              <w:rPr>
                <w:sz w:val="18"/>
                <w:szCs w:val="18"/>
              </w:rPr>
              <w:t>flagship</w:t>
            </w:r>
            <w:r w:rsidRPr="004E3F12">
              <w:rPr>
                <w:sz w:val="18"/>
                <w:szCs w:val="18"/>
              </w:rPr>
              <w:t xml:space="preserve"> (and vice versa) is not sufficiently detailed. (p11)</w:t>
            </w:r>
          </w:p>
        </w:tc>
        <w:tc>
          <w:tcPr>
            <w:tcW w:w="2936" w:type="pct"/>
          </w:tcPr>
          <w:p w14:paraId="7AC48C72" w14:textId="219D1D42" w:rsidR="00F04D52" w:rsidRPr="004E3F12" w:rsidRDefault="00F04D52" w:rsidP="00F04D52">
            <w:pPr>
              <w:rPr>
                <w:sz w:val="18"/>
                <w:szCs w:val="18"/>
              </w:rPr>
            </w:pPr>
            <w:r w:rsidRPr="004E3F12">
              <w:rPr>
                <w:sz w:val="18"/>
                <w:szCs w:val="18"/>
              </w:rPr>
              <w:t>External research partners will have specific roles. For example, research partner CSIRO will be a key modelling collaborator for the analyses under Cluster 1. International research consortia will provide both indications of the international priorities and data gaps, as well as avenues for the flagship research to be disseminated to other partners. As individual activities and projects within the flagship are developed the roles of each partner will be clearly articulated.</w:t>
            </w:r>
          </w:p>
        </w:tc>
        <w:tc>
          <w:tcPr>
            <w:tcW w:w="1001" w:type="pct"/>
          </w:tcPr>
          <w:p w14:paraId="23D477C2" w14:textId="77777777" w:rsidR="00EF1C50" w:rsidRDefault="00EF1C50" w:rsidP="00EF1C50">
            <w:pPr>
              <w:rPr>
                <w:sz w:val="18"/>
                <w:szCs w:val="18"/>
              </w:rPr>
            </w:pPr>
            <w:r>
              <w:rPr>
                <w:sz w:val="18"/>
                <w:szCs w:val="18"/>
              </w:rPr>
              <w:t>The flagship narrative has been updated as follows:</w:t>
            </w:r>
          </w:p>
          <w:p w14:paraId="29031EC7" w14:textId="77777777" w:rsidR="00EF1C50" w:rsidRDefault="00EF1C50" w:rsidP="00F04D52">
            <w:pPr>
              <w:rPr>
                <w:sz w:val="18"/>
                <w:szCs w:val="18"/>
              </w:rPr>
            </w:pPr>
          </w:p>
          <w:p w14:paraId="0A4BF784" w14:textId="3A0E091F" w:rsidR="00F04D52" w:rsidRPr="004E3F12" w:rsidRDefault="00F04D52" w:rsidP="00F04D52">
            <w:pPr>
              <w:rPr>
                <w:sz w:val="18"/>
                <w:szCs w:val="18"/>
              </w:rPr>
            </w:pPr>
            <w:r w:rsidRPr="004E3F12">
              <w:rPr>
                <w:sz w:val="18"/>
                <w:szCs w:val="18"/>
              </w:rPr>
              <w:t>These clarifications added to Section 2.4.1.7</w:t>
            </w:r>
            <w:r w:rsidR="00EF1C50">
              <w:rPr>
                <w:sz w:val="18"/>
                <w:szCs w:val="18"/>
              </w:rPr>
              <w:t xml:space="preserve"> on page</w:t>
            </w:r>
            <w:r w:rsidR="00B35CFD">
              <w:rPr>
                <w:sz w:val="18"/>
                <w:szCs w:val="18"/>
              </w:rPr>
              <w:t xml:space="preserve"> 156</w:t>
            </w:r>
          </w:p>
          <w:p w14:paraId="614CED32" w14:textId="2378380F" w:rsidR="00F04D52" w:rsidRPr="004E3F12" w:rsidRDefault="00F04D52" w:rsidP="00F04D52">
            <w:pPr>
              <w:rPr>
                <w:sz w:val="18"/>
                <w:szCs w:val="18"/>
              </w:rPr>
            </w:pPr>
          </w:p>
        </w:tc>
      </w:tr>
      <w:tr w:rsidR="008B52C3" w:rsidRPr="004E3F12" w14:paraId="1ADD20AC" w14:textId="77777777" w:rsidTr="00FC5D20">
        <w:tc>
          <w:tcPr>
            <w:tcW w:w="5000" w:type="pct"/>
            <w:gridSpan w:val="3"/>
            <w:shd w:val="clear" w:color="auto" w:fill="9CC2E5" w:themeFill="accent1" w:themeFillTint="99"/>
          </w:tcPr>
          <w:p w14:paraId="510A7FFE" w14:textId="13867A3B" w:rsidR="008B52C3" w:rsidRPr="004E3F12" w:rsidRDefault="008B52C3" w:rsidP="00255208">
            <w:pPr>
              <w:rPr>
                <w:sz w:val="18"/>
                <w:szCs w:val="18"/>
              </w:rPr>
            </w:pPr>
            <w:r w:rsidRPr="004E3F12">
              <w:rPr>
                <w:b/>
                <w:sz w:val="18"/>
                <w:szCs w:val="18"/>
              </w:rPr>
              <w:t>Livestock l</w:t>
            </w:r>
            <w:r w:rsidR="00A76E42">
              <w:rPr>
                <w:b/>
                <w:sz w:val="18"/>
                <w:szCs w:val="18"/>
              </w:rPr>
              <w:t xml:space="preserve">ivelihoods and </w:t>
            </w:r>
            <w:proofErr w:type="spellStart"/>
            <w:r w:rsidR="00A76E42">
              <w:rPr>
                <w:b/>
                <w:sz w:val="18"/>
                <w:szCs w:val="18"/>
              </w:rPr>
              <w:t>agri</w:t>
            </w:r>
            <w:proofErr w:type="spellEnd"/>
            <w:r w:rsidR="00A76E42">
              <w:rPr>
                <w:b/>
                <w:sz w:val="18"/>
                <w:szCs w:val="18"/>
              </w:rPr>
              <w:t>-f</w:t>
            </w:r>
            <w:r w:rsidR="00FC5D20">
              <w:rPr>
                <w:b/>
                <w:sz w:val="18"/>
                <w:szCs w:val="18"/>
              </w:rPr>
              <w:t>ood systems</w:t>
            </w:r>
          </w:p>
        </w:tc>
      </w:tr>
      <w:tr w:rsidR="00B32760" w:rsidRPr="004E3F12" w14:paraId="3051F156" w14:textId="77777777" w:rsidTr="00846407">
        <w:tc>
          <w:tcPr>
            <w:tcW w:w="1063" w:type="pct"/>
          </w:tcPr>
          <w:p w14:paraId="303B2174" w14:textId="77777777" w:rsidR="00B32760" w:rsidRPr="004E3F12" w:rsidRDefault="00B32760" w:rsidP="00255208">
            <w:pPr>
              <w:rPr>
                <w:sz w:val="18"/>
                <w:szCs w:val="18"/>
              </w:rPr>
            </w:pPr>
            <w:r w:rsidRPr="004E3F12">
              <w:rPr>
                <w:sz w:val="18"/>
                <w:szCs w:val="18"/>
              </w:rPr>
              <w:t>Grand challenges: One instance where the aspirational impact target is questionable is nutrition – existing evidence suggests that increasing the productivity and efficiency of livestock systems (a primary focus of the CRP) is not sufficient to combat malnutrition in the poor producer households and thus greater clarification of the scientific rationale for this target will strengthen the proposal. (p3)</w:t>
            </w:r>
          </w:p>
        </w:tc>
        <w:tc>
          <w:tcPr>
            <w:tcW w:w="2936" w:type="pct"/>
          </w:tcPr>
          <w:p w14:paraId="677F371B" w14:textId="354D6A89" w:rsidR="00B32760" w:rsidRPr="004E3F12" w:rsidRDefault="00CC3752" w:rsidP="00255208">
            <w:pPr>
              <w:rPr>
                <w:sz w:val="18"/>
                <w:szCs w:val="18"/>
              </w:rPr>
            </w:pPr>
            <w:r w:rsidRPr="004E3F12">
              <w:rPr>
                <w:sz w:val="18"/>
                <w:szCs w:val="18"/>
              </w:rPr>
              <w:t>The flagship</w:t>
            </w:r>
            <w:r w:rsidR="00A825C8" w:rsidRPr="004E3F12">
              <w:rPr>
                <w:sz w:val="18"/>
                <w:szCs w:val="18"/>
              </w:rPr>
              <w:t xml:space="preserve"> agrees</w:t>
            </w:r>
            <w:r w:rsidR="00B32760" w:rsidRPr="004E3F12">
              <w:rPr>
                <w:sz w:val="18"/>
                <w:szCs w:val="18"/>
              </w:rPr>
              <w:t xml:space="preserve"> that the evidence is scarce regarding the contribution of productivity and even income to improved nutrition, although there are some studies that support this link (e.g. in Kerala and Zambia). </w:t>
            </w:r>
            <w:r w:rsidR="00A825C8" w:rsidRPr="004E3F12">
              <w:rPr>
                <w:sz w:val="18"/>
                <w:szCs w:val="18"/>
              </w:rPr>
              <w:t>T</w:t>
            </w:r>
            <w:r w:rsidR="00B32760" w:rsidRPr="004E3F12">
              <w:rPr>
                <w:sz w:val="18"/>
                <w:szCs w:val="18"/>
              </w:rPr>
              <w:t xml:space="preserve">his as an important knowledge gap that the CRP needs to address. The driving rationale is the puzzling juxtaposition of high-nutritive-value ASFs at the same time that there are high rates of malnutrition within </w:t>
            </w:r>
            <w:r w:rsidR="00A825C8" w:rsidRPr="004E3F12">
              <w:rPr>
                <w:sz w:val="18"/>
                <w:szCs w:val="18"/>
              </w:rPr>
              <w:t xml:space="preserve">our </w:t>
            </w:r>
            <w:r w:rsidR="00B32760" w:rsidRPr="004E3F12">
              <w:rPr>
                <w:sz w:val="18"/>
                <w:szCs w:val="18"/>
              </w:rPr>
              <w:t xml:space="preserve">target communities – </w:t>
            </w:r>
            <w:r w:rsidR="00A825C8" w:rsidRPr="004E3F12">
              <w:rPr>
                <w:sz w:val="18"/>
                <w:szCs w:val="18"/>
              </w:rPr>
              <w:t>hence the</w:t>
            </w:r>
            <w:r w:rsidR="00B32760" w:rsidRPr="004E3F12">
              <w:rPr>
                <w:sz w:val="18"/>
                <w:szCs w:val="18"/>
              </w:rPr>
              <w:t xml:space="preserve"> need to learn more about the reasons for that discrepancy and identify means to bridge the gaps. We recognize that is an area of exploratory research but is required in order to address the nutrition SLO</w:t>
            </w:r>
            <w:r w:rsidR="009333AA" w:rsidRPr="004E3F12">
              <w:rPr>
                <w:sz w:val="18"/>
                <w:szCs w:val="18"/>
              </w:rPr>
              <w:t>, potentially beyond the six year time frame</w:t>
            </w:r>
            <w:r w:rsidR="00B32760" w:rsidRPr="004E3F12">
              <w:rPr>
                <w:sz w:val="18"/>
                <w:szCs w:val="18"/>
              </w:rPr>
              <w:t>. We will work closely with A4NH and national partners on formative research and other methods to influence dietary behaviour.</w:t>
            </w:r>
          </w:p>
          <w:p w14:paraId="1671EA17" w14:textId="77777777" w:rsidR="00B32760" w:rsidRPr="004E3F12" w:rsidRDefault="00B32760" w:rsidP="00255208">
            <w:pPr>
              <w:rPr>
                <w:sz w:val="18"/>
                <w:szCs w:val="18"/>
              </w:rPr>
            </w:pPr>
          </w:p>
          <w:p w14:paraId="2B2E41AF" w14:textId="77777777" w:rsidR="00B32760" w:rsidRPr="004E3F12" w:rsidRDefault="00B32760" w:rsidP="00255208">
            <w:pPr>
              <w:rPr>
                <w:sz w:val="18"/>
                <w:szCs w:val="18"/>
              </w:rPr>
            </w:pPr>
          </w:p>
          <w:p w14:paraId="289A9B6F" w14:textId="77777777" w:rsidR="00B32760" w:rsidRPr="004E3F12" w:rsidRDefault="00B32760" w:rsidP="00255208">
            <w:pPr>
              <w:rPr>
                <w:sz w:val="18"/>
                <w:szCs w:val="18"/>
              </w:rPr>
            </w:pPr>
          </w:p>
        </w:tc>
        <w:tc>
          <w:tcPr>
            <w:tcW w:w="1001" w:type="pct"/>
          </w:tcPr>
          <w:p w14:paraId="42901806" w14:textId="77777777" w:rsidR="00EF1C50" w:rsidRDefault="00EF1C50" w:rsidP="00EF1C50">
            <w:pPr>
              <w:rPr>
                <w:sz w:val="18"/>
                <w:szCs w:val="18"/>
              </w:rPr>
            </w:pPr>
            <w:r>
              <w:rPr>
                <w:sz w:val="18"/>
                <w:szCs w:val="18"/>
              </w:rPr>
              <w:t>The flagship narrative has been updated as follows:</w:t>
            </w:r>
          </w:p>
          <w:p w14:paraId="0A7E5D2A" w14:textId="77777777" w:rsidR="00EF1C50" w:rsidRDefault="00EF1C50" w:rsidP="00EF1C50">
            <w:pPr>
              <w:rPr>
                <w:sz w:val="18"/>
                <w:szCs w:val="18"/>
              </w:rPr>
            </w:pPr>
          </w:p>
          <w:p w14:paraId="75ED6BEA" w14:textId="2E43F568" w:rsidR="00B32760" w:rsidRPr="004E3F12" w:rsidRDefault="00A825C8" w:rsidP="00EF1C50">
            <w:pPr>
              <w:rPr>
                <w:sz w:val="18"/>
                <w:szCs w:val="18"/>
              </w:rPr>
            </w:pPr>
            <w:r w:rsidRPr="004E3F12">
              <w:rPr>
                <w:sz w:val="18"/>
                <w:szCs w:val="18"/>
              </w:rPr>
              <w:t>Section 2.5.1.1:</w:t>
            </w:r>
            <w:r w:rsidR="00EF1C50">
              <w:rPr>
                <w:sz w:val="18"/>
                <w:szCs w:val="18"/>
              </w:rPr>
              <w:t xml:space="preserve"> Changes on p</w:t>
            </w:r>
            <w:r w:rsidR="00B32760" w:rsidRPr="004E3F12">
              <w:rPr>
                <w:sz w:val="18"/>
                <w:szCs w:val="18"/>
              </w:rPr>
              <w:t xml:space="preserve">age </w:t>
            </w:r>
            <w:r w:rsidR="00B35CFD">
              <w:rPr>
                <w:sz w:val="18"/>
                <w:szCs w:val="18"/>
              </w:rPr>
              <w:t>168</w:t>
            </w:r>
          </w:p>
        </w:tc>
      </w:tr>
      <w:tr w:rsidR="00B32760" w:rsidRPr="004E3F12" w14:paraId="1EF37744" w14:textId="77777777" w:rsidTr="00846407">
        <w:tc>
          <w:tcPr>
            <w:tcW w:w="1063" w:type="pct"/>
          </w:tcPr>
          <w:p w14:paraId="52A43780" w14:textId="00539AC7" w:rsidR="00B32760" w:rsidRPr="004E3F12" w:rsidRDefault="00B32760" w:rsidP="0080437D">
            <w:pPr>
              <w:rPr>
                <w:sz w:val="18"/>
                <w:szCs w:val="18"/>
              </w:rPr>
            </w:pPr>
            <w:r w:rsidRPr="004E3F12">
              <w:rPr>
                <w:sz w:val="18"/>
                <w:szCs w:val="18"/>
              </w:rPr>
              <w:t>Inter CRP synergies: There are other potential overlaps with PIM in the areas of value chains and livelihoods (</w:t>
            </w:r>
            <w:r w:rsidR="0080437D">
              <w:rPr>
                <w:sz w:val="18"/>
                <w:szCs w:val="18"/>
              </w:rPr>
              <w:t>LLAFS flagship</w:t>
            </w:r>
            <w:r w:rsidRPr="004E3F12">
              <w:rPr>
                <w:sz w:val="18"/>
                <w:szCs w:val="18"/>
              </w:rPr>
              <w:t>) as well as on policymaking (agricultural and environmental) to deal with incentives for livestock production and environmental externalities. In these cases, however, the collaboration with PIM is not obvious in the proposal. (p3)</w:t>
            </w:r>
          </w:p>
        </w:tc>
        <w:tc>
          <w:tcPr>
            <w:tcW w:w="2936" w:type="pct"/>
          </w:tcPr>
          <w:p w14:paraId="00F1F961" w14:textId="474F096A" w:rsidR="00B32760" w:rsidRPr="004E3F12" w:rsidRDefault="00606BA5" w:rsidP="00255208">
            <w:pPr>
              <w:rPr>
                <w:sz w:val="18"/>
                <w:szCs w:val="18"/>
              </w:rPr>
            </w:pPr>
            <w:r>
              <w:rPr>
                <w:sz w:val="18"/>
                <w:szCs w:val="18"/>
              </w:rPr>
              <w:t>Agree</w:t>
            </w:r>
            <w:r w:rsidR="00164CAA" w:rsidRPr="004E3F12">
              <w:rPr>
                <w:sz w:val="18"/>
                <w:szCs w:val="18"/>
              </w:rPr>
              <w:t xml:space="preserve"> there are areas of potential collaboration with PIM. These </w:t>
            </w:r>
            <w:r>
              <w:rPr>
                <w:sz w:val="18"/>
                <w:szCs w:val="18"/>
              </w:rPr>
              <w:t>a</w:t>
            </w:r>
            <w:r w:rsidR="00164CAA" w:rsidRPr="004E3F12">
              <w:rPr>
                <w:sz w:val="18"/>
                <w:szCs w:val="18"/>
              </w:rPr>
              <w:t>re listed in Annex 3.6 and</w:t>
            </w:r>
            <w:r>
              <w:rPr>
                <w:sz w:val="18"/>
                <w:szCs w:val="18"/>
              </w:rPr>
              <w:t>,</w:t>
            </w:r>
            <w:r w:rsidR="00164CAA" w:rsidRPr="004E3F12">
              <w:rPr>
                <w:sz w:val="18"/>
                <w:szCs w:val="18"/>
              </w:rPr>
              <w:t xml:space="preserve"> as the CRPs are operationalised</w:t>
            </w:r>
            <w:r>
              <w:rPr>
                <w:sz w:val="18"/>
                <w:szCs w:val="18"/>
              </w:rPr>
              <w:t>,</w:t>
            </w:r>
            <w:r w:rsidR="00164CAA" w:rsidRPr="004E3F12">
              <w:rPr>
                <w:sz w:val="18"/>
                <w:szCs w:val="18"/>
              </w:rPr>
              <w:t xml:space="preserve"> collaboration arrangements will be </w:t>
            </w:r>
            <w:r w:rsidR="002A22C8">
              <w:rPr>
                <w:sz w:val="18"/>
                <w:szCs w:val="18"/>
              </w:rPr>
              <w:t xml:space="preserve">further </w:t>
            </w:r>
            <w:r w:rsidR="00164CAA" w:rsidRPr="004E3F12">
              <w:rPr>
                <w:sz w:val="18"/>
                <w:szCs w:val="18"/>
              </w:rPr>
              <w:t>refined.</w:t>
            </w:r>
          </w:p>
          <w:p w14:paraId="5DF8A37A" w14:textId="77777777" w:rsidR="00B32760" w:rsidRPr="004E3F12" w:rsidRDefault="00B32760" w:rsidP="00255208">
            <w:pPr>
              <w:rPr>
                <w:sz w:val="18"/>
                <w:szCs w:val="18"/>
              </w:rPr>
            </w:pPr>
          </w:p>
        </w:tc>
        <w:tc>
          <w:tcPr>
            <w:tcW w:w="1001" w:type="pct"/>
          </w:tcPr>
          <w:p w14:paraId="2CC8DA81" w14:textId="77777777" w:rsidR="00EF1C50" w:rsidRDefault="00EF1C50" w:rsidP="00EF1C50">
            <w:pPr>
              <w:rPr>
                <w:sz w:val="18"/>
                <w:szCs w:val="18"/>
              </w:rPr>
            </w:pPr>
            <w:r>
              <w:rPr>
                <w:sz w:val="18"/>
                <w:szCs w:val="18"/>
              </w:rPr>
              <w:t>The flagship narrative has been updated as follows:</w:t>
            </w:r>
          </w:p>
          <w:p w14:paraId="160EEE46" w14:textId="77777777" w:rsidR="00EF1C50" w:rsidRDefault="00EF1C50" w:rsidP="00255208">
            <w:pPr>
              <w:rPr>
                <w:sz w:val="18"/>
                <w:szCs w:val="18"/>
              </w:rPr>
            </w:pPr>
          </w:p>
          <w:p w14:paraId="471544F3" w14:textId="08A1310F" w:rsidR="00EF1C50" w:rsidRDefault="00B35CFD" w:rsidP="00255208">
            <w:pPr>
              <w:rPr>
                <w:sz w:val="18"/>
                <w:szCs w:val="18"/>
              </w:rPr>
            </w:pPr>
            <w:r>
              <w:rPr>
                <w:sz w:val="18"/>
                <w:szCs w:val="18"/>
              </w:rPr>
              <w:t>Section 2.5.1.6</w:t>
            </w:r>
            <w:r w:rsidR="00EF1C50">
              <w:rPr>
                <w:sz w:val="18"/>
                <w:szCs w:val="18"/>
              </w:rPr>
              <w:t>: Changes on page</w:t>
            </w:r>
            <w:r w:rsidR="00B32760" w:rsidRPr="004E3F12">
              <w:rPr>
                <w:sz w:val="18"/>
                <w:szCs w:val="18"/>
              </w:rPr>
              <w:t xml:space="preserve"> 1</w:t>
            </w:r>
            <w:r>
              <w:rPr>
                <w:sz w:val="18"/>
                <w:szCs w:val="18"/>
              </w:rPr>
              <w:t>78</w:t>
            </w:r>
          </w:p>
          <w:p w14:paraId="483C08C3" w14:textId="77777777" w:rsidR="00B32760" w:rsidRDefault="00B32760" w:rsidP="00CC3752">
            <w:pPr>
              <w:rPr>
                <w:sz w:val="18"/>
                <w:szCs w:val="18"/>
              </w:rPr>
            </w:pPr>
          </w:p>
          <w:p w14:paraId="13C8F1DD" w14:textId="410C7DEE" w:rsidR="003C3342" w:rsidRPr="004E3F12" w:rsidRDefault="003C3342" w:rsidP="00CC3752">
            <w:pPr>
              <w:rPr>
                <w:sz w:val="18"/>
                <w:szCs w:val="18"/>
              </w:rPr>
            </w:pPr>
            <w:r w:rsidRPr="005C179E">
              <w:rPr>
                <w:sz w:val="18"/>
                <w:szCs w:val="18"/>
              </w:rPr>
              <w:t xml:space="preserve">Updates </w:t>
            </w:r>
            <w:r w:rsidR="00846407" w:rsidRPr="005C179E">
              <w:rPr>
                <w:sz w:val="18"/>
                <w:szCs w:val="18"/>
              </w:rPr>
              <w:t xml:space="preserve">to the CRP links with PIM </w:t>
            </w:r>
            <w:r w:rsidRPr="005C179E">
              <w:rPr>
                <w:sz w:val="18"/>
                <w:szCs w:val="18"/>
              </w:rPr>
              <w:t>have been made to the table in Annex 3.6</w:t>
            </w:r>
            <w:r w:rsidR="00DD1CBC">
              <w:rPr>
                <w:sz w:val="18"/>
                <w:szCs w:val="18"/>
              </w:rPr>
              <w:t>, pages 58-59</w:t>
            </w:r>
          </w:p>
        </w:tc>
      </w:tr>
      <w:tr w:rsidR="00B32760" w:rsidRPr="004E3F12" w14:paraId="6A826CF3" w14:textId="77777777" w:rsidTr="00846407">
        <w:tc>
          <w:tcPr>
            <w:tcW w:w="1063" w:type="pct"/>
          </w:tcPr>
          <w:p w14:paraId="2E4E2D3A" w14:textId="16A7FA74" w:rsidR="00B32760" w:rsidRPr="004E3F12" w:rsidRDefault="00B32760" w:rsidP="0080437D">
            <w:pPr>
              <w:rPr>
                <w:sz w:val="18"/>
                <w:szCs w:val="18"/>
              </w:rPr>
            </w:pPr>
            <w:r w:rsidRPr="004E3F12">
              <w:rPr>
                <w:sz w:val="18"/>
                <w:szCs w:val="18"/>
              </w:rPr>
              <w:t xml:space="preserve">The same issue arises in the context of </w:t>
            </w:r>
            <w:r w:rsidR="0080437D">
              <w:rPr>
                <w:sz w:val="18"/>
                <w:szCs w:val="18"/>
              </w:rPr>
              <w:t>the flagship</w:t>
            </w:r>
            <w:r w:rsidRPr="004E3F12">
              <w:rPr>
                <w:sz w:val="18"/>
                <w:szCs w:val="18"/>
              </w:rPr>
              <w:t xml:space="preserve"> on livelihoods and </w:t>
            </w:r>
            <w:proofErr w:type="spellStart"/>
            <w:r w:rsidRPr="004E3F12">
              <w:rPr>
                <w:sz w:val="18"/>
                <w:szCs w:val="18"/>
              </w:rPr>
              <w:lastRenderedPageBreak/>
              <w:t>agri</w:t>
            </w:r>
            <w:proofErr w:type="spellEnd"/>
            <w:r w:rsidRPr="004E3F12">
              <w:rPr>
                <w:sz w:val="18"/>
                <w:szCs w:val="18"/>
              </w:rPr>
              <w:t>-food systems (</w:t>
            </w:r>
            <w:r w:rsidR="0080437D">
              <w:rPr>
                <w:sz w:val="18"/>
                <w:szCs w:val="18"/>
              </w:rPr>
              <w:t>LLAFS</w:t>
            </w:r>
            <w:r w:rsidRPr="004E3F12">
              <w:rPr>
                <w:sz w:val="18"/>
                <w:szCs w:val="18"/>
              </w:rPr>
              <w:t>). It is not obvious this</w:t>
            </w:r>
            <w:r w:rsidR="0080437D">
              <w:rPr>
                <w:sz w:val="18"/>
                <w:szCs w:val="18"/>
              </w:rPr>
              <w:t xml:space="preserve"> </w:t>
            </w:r>
            <w:r w:rsidRPr="004E3F12">
              <w:rPr>
                <w:sz w:val="18"/>
                <w:szCs w:val="18"/>
              </w:rPr>
              <w:t xml:space="preserve">work should occur outside of other </w:t>
            </w:r>
            <w:r w:rsidR="0080437D">
              <w:rPr>
                <w:sz w:val="18"/>
                <w:szCs w:val="18"/>
              </w:rPr>
              <w:t>flagships</w:t>
            </w:r>
            <w:r w:rsidRPr="004E3F12">
              <w:rPr>
                <w:sz w:val="18"/>
                <w:szCs w:val="18"/>
              </w:rPr>
              <w:t xml:space="preserve">. At the least, the integration across these </w:t>
            </w:r>
            <w:r w:rsidR="0080437D">
              <w:rPr>
                <w:sz w:val="18"/>
                <w:szCs w:val="18"/>
              </w:rPr>
              <w:t>flagships</w:t>
            </w:r>
            <w:r w:rsidRPr="004E3F12">
              <w:rPr>
                <w:sz w:val="18"/>
                <w:szCs w:val="18"/>
              </w:rPr>
              <w:t xml:space="preserve"> will be essential. (p5)</w:t>
            </w:r>
          </w:p>
        </w:tc>
        <w:tc>
          <w:tcPr>
            <w:tcW w:w="2936" w:type="pct"/>
          </w:tcPr>
          <w:p w14:paraId="0829DFB8" w14:textId="5BE91B77" w:rsidR="00B32760" w:rsidRPr="004E3F12" w:rsidRDefault="00EF1C50" w:rsidP="00255208">
            <w:pPr>
              <w:rPr>
                <w:sz w:val="18"/>
                <w:szCs w:val="18"/>
              </w:rPr>
            </w:pPr>
            <w:r>
              <w:rPr>
                <w:sz w:val="18"/>
                <w:szCs w:val="18"/>
              </w:rPr>
              <w:lastRenderedPageBreak/>
              <w:t>Agee</w:t>
            </w:r>
            <w:r w:rsidR="00B32760" w:rsidRPr="004E3F12">
              <w:rPr>
                <w:sz w:val="18"/>
                <w:szCs w:val="18"/>
              </w:rPr>
              <w:t xml:space="preserve"> - the integration function is </w:t>
            </w:r>
            <w:r w:rsidR="00955E99" w:rsidRPr="004E3F12">
              <w:rPr>
                <w:sz w:val="18"/>
                <w:szCs w:val="18"/>
              </w:rPr>
              <w:t>one major focus of this</w:t>
            </w:r>
            <w:r w:rsidR="00B32760" w:rsidRPr="004E3F12">
              <w:rPr>
                <w:sz w:val="18"/>
                <w:szCs w:val="18"/>
              </w:rPr>
              <w:t xml:space="preserve"> flagship</w:t>
            </w:r>
            <w:r w:rsidR="00955E99" w:rsidRPr="004E3F12">
              <w:rPr>
                <w:sz w:val="18"/>
                <w:szCs w:val="18"/>
              </w:rPr>
              <w:t>.</w:t>
            </w:r>
          </w:p>
          <w:p w14:paraId="49783A8F" w14:textId="77777777" w:rsidR="00B32760" w:rsidRPr="004E3F12" w:rsidRDefault="00B32760" w:rsidP="00255208">
            <w:pPr>
              <w:rPr>
                <w:sz w:val="18"/>
                <w:szCs w:val="18"/>
              </w:rPr>
            </w:pPr>
          </w:p>
          <w:p w14:paraId="246B59F1" w14:textId="77777777" w:rsidR="00B32760" w:rsidRPr="004E3F12" w:rsidRDefault="00B32760" w:rsidP="00255208">
            <w:pPr>
              <w:rPr>
                <w:sz w:val="18"/>
                <w:szCs w:val="18"/>
              </w:rPr>
            </w:pPr>
          </w:p>
          <w:p w14:paraId="45662BCC" w14:textId="77777777" w:rsidR="00B32760" w:rsidRPr="004E3F12" w:rsidRDefault="00B32760" w:rsidP="00255208">
            <w:pPr>
              <w:rPr>
                <w:sz w:val="18"/>
                <w:szCs w:val="18"/>
              </w:rPr>
            </w:pPr>
          </w:p>
        </w:tc>
        <w:tc>
          <w:tcPr>
            <w:tcW w:w="1001" w:type="pct"/>
          </w:tcPr>
          <w:p w14:paraId="7BAB0241" w14:textId="77777777" w:rsidR="00B32760" w:rsidRPr="004E3F12" w:rsidRDefault="00B32760" w:rsidP="00255208">
            <w:pPr>
              <w:rPr>
                <w:sz w:val="18"/>
                <w:szCs w:val="18"/>
              </w:rPr>
            </w:pPr>
          </w:p>
        </w:tc>
      </w:tr>
      <w:tr w:rsidR="00B32760" w:rsidRPr="004E3F12" w14:paraId="3F5AA807" w14:textId="77777777" w:rsidTr="00846407">
        <w:tc>
          <w:tcPr>
            <w:tcW w:w="1063" w:type="pct"/>
          </w:tcPr>
          <w:p w14:paraId="289A9180" w14:textId="77777777" w:rsidR="00B32760" w:rsidRPr="004E3F12" w:rsidRDefault="00B32760" w:rsidP="00255208">
            <w:pPr>
              <w:rPr>
                <w:sz w:val="18"/>
                <w:szCs w:val="18"/>
              </w:rPr>
            </w:pPr>
            <w:r w:rsidRPr="004E3F12">
              <w:rPr>
                <w:sz w:val="18"/>
                <w:szCs w:val="18"/>
              </w:rPr>
              <w:lastRenderedPageBreak/>
              <w:t>What would strengthen the</w:t>
            </w:r>
          </w:p>
          <w:p w14:paraId="63EB410F" w14:textId="693FD49A" w:rsidR="00B32760" w:rsidRPr="004E3F12" w:rsidRDefault="00B32760" w:rsidP="003C3342">
            <w:pPr>
              <w:rPr>
                <w:sz w:val="18"/>
                <w:szCs w:val="18"/>
              </w:rPr>
            </w:pPr>
            <w:proofErr w:type="gramStart"/>
            <w:r w:rsidRPr="004E3F12">
              <w:rPr>
                <w:sz w:val="18"/>
                <w:szCs w:val="18"/>
              </w:rPr>
              <w:t>strategy</w:t>
            </w:r>
            <w:proofErr w:type="gramEnd"/>
            <w:r w:rsidRPr="004E3F12">
              <w:rPr>
                <w:sz w:val="18"/>
                <w:szCs w:val="18"/>
              </w:rPr>
              <w:t xml:space="preserve"> is explicit recognition that some of the linkages articulated between livestock, gender (in this</w:t>
            </w:r>
            <w:r w:rsidR="003C3342">
              <w:rPr>
                <w:sz w:val="18"/>
                <w:szCs w:val="18"/>
              </w:rPr>
              <w:t xml:space="preserve"> </w:t>
            </w:r>
            <w:r w:rsidRPr="004E3F12">
              <w:rPr>
                <w:sz w:val="18"/>
                <w:szCs w:val="18"/>
              </w:rPr>
              <w:t>context, women), and potential impacts on nutrition or empowerment are worthy of continued scientific enquiry. (p5)</w:t>
            </w:r>
          </w:p>
        </w:tc>
        <w:tc>
          <w:tcPr>
            <w:tcW w:w="2936" w:type="pct"/>
          </w:tcPr>
          <w:p w14:paraId="532BDB3A" w14:textId="429CC891" w:rsidR="00B32760" w:rsidRPr="004E3F12" w:rsidRDefault="00EF1C50" w:rsidP="00EF1C50">
            <w:pPr>
              <w:rPr>
                <w:sz w:val="18"/>
                <w:szCs w:val="18"/>
              </w:rPr>
            </w:pPr>
            <w:r>
              <w:rPr>
                <w:sz w:val="18"/>
                <w:szCs w:val="18"/>
              </w:rPr>
              <w:t>Agree</w:t>
            </w:r>
          </w:p>
        </w:tc>
        <w:tc>
          <w:tcPr>
            <w:tcW w:w="1001" w:type="pct"/>
          </w:tcPr>
          <w:p w14:paraId="55D79F43" w14:textId="77777777" w:rsidR="00EF1C50" w:rsidRDefault="00EF1C50" w:rsidP="00EF1C50">
            <w:pPr>
              <w:rPr>
                <w:sz w:val="18"/>
                <w:szCs w:val="18"/>
              </w:rPr>
            </w:pPr>
            <w:bookmarkStart w:id="13" w:name="_Toc444275032"/>
            <w:bookmarkStart w:id="14" w:name="_Toc444279298"/>
            <w:bookmarkStart w:id="15" w:name="_Toc445925380"/>
            <w:r>
              <w:rPr>
                <w:sz w:val="18"/>
                <w:szCs w:val="18"/>
              </w:rPr>
              <w:t>The flagship narrative has been updated as follows:</w:t>
            </w:r>
          </w:p>
          <w:p w14:paraId="13C741C3" w14:textId="77777777" w:rsidR="00EF1C50" w:rsidRDefault="00EF1C50" w:rsidP="00255208">
            <w:pPr>
              <w:rPr>
                <w:sz w:val="18"/>
                <w:szCs w:val="18"/>
              </w:rPr>
            </w:pPr>
          </w:p>
          <w:p w14:paraId="3198446A" w14:textId="7ECDD2B0" w:rsidR="00955E99" w:rsidRDefault="00955E99" w:rsidP="00255208">
            <w:pPr>
              <w:rPr>
                <w:sz w:val="18"/>
                <w:szCs w:val="18"/>
              </w:rPr>
            </w:pPr>
            <w:r w:rsidRPr="004E3F12">
              <w:rPr>
                <w:sz w:val="18"/>
                <w:szCs w:val="18"/>
              </w:rPr>
              <w:t>Section 2.5.1.6:</w:t>
            </w:r>
            <w:r w:rsidR="00B35CFD">
              <w:rPr>
                <w:sz w:val="18"/>
                <w:szCs w:val="18"/>
              </w:rPr>
              <w:t xml:space="preserve"> Changes on page 180</w:t>
            </w:r>
          </w:p>
          <w:bookmarkEnd w:id="13"/>
          <w:bookmarkEnd w:id="14"/>
          <w:bookmarkEnd w:id="15"/>
          <w:p w14:paraId="2D660F03" w14:textId="6EEE36A8" w:rsidR="00B32760" w:rsidRPr="004E3F12" w:rsidRDefault="00B32760" w:rsidP="00255208">
            <w:pPr>
              <w:rPr>
                <w:sz w:val="18"/>
                <w:szCs w:val="18"/>
              </w:rPr>
            </w:pPr>
            <w:r w:rsidRPr="004E3F12">
              <w:rPr>
                <w:sz w:val="18"/>
                <w:szCs w:val="18"/>
              </w:rPr>
              <w:t xml:space="preserve"> </w:t>
            </w:r>
          </w:p>
        </w:tc>
      </w:tr>
      <w:tr w:rsidR="00B32760" w:rsidRPr="004E3F12" w14:paraId="5EF7634B" w14:textId="77777777" w:rsidTr="00846407">
        <w:tc>
          <w:tcPr>
            <w:tcW w:w="1063" w:type="pct"/>
          </w:tcPr>
          <w:p w14:paraId="13ECE864" w14:textId="56AD78DC" w:rsidR="00B32760" w:rsidRPr="004E3F12" w:rsidRDefault="00B32760" w:rsidP="00255208">
            <w:pPr>
              <w:rPr>
                <w:sz w:val="18"/>
                <w:szCs w:val="18"/>
              </w:rPr>
            </w:pPr>
            <w:r w:rsidRPr="004E3F12">
              <w:rPr>
                <w:sz w:val="18"/>
                <w:szCs w:val="18"/>
              </w:rPr>
              <w:t>[</w:t>
            </w:r>
            <w:proofErr w:type="gramStart"/>
            <w:r w:rsidRPr="004E3F12">
              <w:rPr>
                <w:sz w:val="18"/>
                <w:szCs w:val="18"/>
              </w:rPr>
              <w:t>dairy</w:t>
            </w:r>
            <w:proofErr w:type="gramEnd"/>
            <w:r w:rsidRPr="004E3F12">
              <w:rPr>
                <w:sz w:val="18"/>
                <w:szCs w:val="18"/>
              </w:rPr>
              <w:t xml:space="preserve"> VCs in Burkina Faso??? P11)</w:t>
            </w:r>
          </w:p>
        </w:tc>
        <w:tc>
          <w:tcPr>
            <w:tcW w:w="2936" w:type="pct"/>
          </w:tcPr>
          <w:p w14:paraId="029C01A0" w14:textId="0E7E9644" w:rsidR="00B32760" w:rsidRPr="004E3F12" w:rsidRDefault="000F1200" w:rsidP="00255208">
            <w:pPr>
              <w:rPr>
                <w:sz w:val="18"/>
                <w:szCs w:val="18"/>
              </w:rPr>
            </w:pPr>
            <w:r w:rsidRPr="004E3F12">
              <w:rPr>
                <w:sz w:val="18"/>
                <w:szCs w:val="18"/>
              </w:rPr>
              <w:t xml:space="preserve">Reference </w:t>
            </w:r>
            <w:r w:rsidR="00606BA5">
              <w:rPr>
                <w:sz w:val="18"/>
                <w:szCs w:val="18"/>
              </w:rPr>
              <w:t xml:space="preserve">in the commentary </w:t>
            </w:r>
            <w:r w:rsidRPr="004E3F12">
              <w:rPr>
                <w:sz w:val="18"/>
                <w:szCs w:val="18"/>
              </w:rPr>
              <w:t>to dairy VCs in Burkina Faso is inaccurate, the priority VC in Burkina Faso is small ruminants.</w:t>
            </w:r>
          </w:p>
        </w:tc>
        <w:tc>
          <w:tcPr>
            <w:tcW w:w="1001" w:type="pct"/>
          </w:tcPr>
          <w:p w14:paraId="35F6FA91" w14:textId="77777777" w:rsidR="00B32760" w:rsidRPr="004E3F12" w:rsidRDefault="00B32760" w:rsidP="00255208">
            <w:pPr>
              <w:rPr>
                <w:sz w:val="18"/>
                <w:szCs w:val="18"/>
              </w:rPr>
            </w:pPr>
          </w:p>
        </w:tc>
      </w:tr>
      <w:tr w:rsidR="00B32760" w:rsidRPr="004E3F12" w14:paraId="46D108EA" w14:textId="77777777" w:rsidTr="00846407">
        <w:tc>
          <w:tcPr>
            <w:tcW w:w="1063" w:type="pct"/>
          </w:tcPr>
          <w:p w14:paraId="53A92430" w14:textId="4E35126E" w:rsidR="00B32760" w:rsidRPr="004E3F12" w:rsidRDefault="0080437D" w:rsidP="0080437D">
            <w:pPr>
              <w:rPr>
                <w:sz w:val="18"/>
                <w:szCs w:val="18"/>
              </w:rPr>
            </w:pPr>
            <w:r>
              <w:rPr>
                <w:sz w:val="18"/>
                <w:szCs w:val="18"/>
              </w:rPr>
              <w:t>The LLAFS flagship</w:t>
            </w:r>
            <w:r w:rsidR="00B32760" w:rsidRPr="004E3F12">
              <w:rPr>
                <w:sz w:val="18"/>
                <w:szCs w:val="18"/>
              </w:rPr>
              <w:t xml:space="preserve"> risks appearing as being largely engaged in piloting successful development projects with livestock components, and the narrative could be strengthened by including information on priority value chains and associated research. The open question about what the research in this</w:t>
            </w:r>
            <w:r>
              <w:rPr>
                <w:sz w:val="18"/>
                <w:szCs w:val="18"/>
              </w:rPr>
              <w:t xml:space="preserve"> flagship</w:t>
            </w:r>
            <w:r w:rsidR="00B32760" w:rsidRPr="004E3F12">
              <w:rPr>
                <w:sz w:val="18"/>
                <w:szCs w:val="18"/>
              </w:rPr>
              <w:t xml:space="preserve"> will deliver</w:t>
            </w:r>
            <w:r w:rsidR="000F1200" w:rsidRPr="004E3F12">
              <w:rPr>
                <w:sz w:val="18"/>
                <w:szCs w:val="18"/>
              </w:rPr>
              <w:t xml:space="preserve"> (p11)</w:t>
            </w:r>
          </w:p>
        </w:tc>
        <w:tc>
          <w:tcPr>
            <w:tcW w:w="2936" w:type="pct"/>
          </w:tcPr>
          <w:p w14:paraId="1ADE2D84" w14:textId="6023C823" w:rsidR="00B32760" w:rsidRPr="004E3F12" w:rsidRDefault="00B32760" w:rsidP="00255208">
            <w:pPr>
              <w:rPr>
                <w:sz w:val="18"/>
                <w:szCs w:val="18"/>
              </w:rPr>
            </w:pPr>
            <w:r w:rsidRPr="004E3F12">
              <w:rPr>
                <w:sz w:val="18"/>
                <w:szCs w:val="18"/>
              </w:rPr>
              <w:t>Much of the outputs delivered through action research/piloting with development projects has been and will continue to be tested business models for improving the performance of livestock systems, with emphasis on collective action of different kinds as well as access to markets and services. These may include</w:t>
            </w:r>
            <w:r w:rsidR="000F1200" w:rsidRPr="004E3F12">
              <w:rPr>
                <w:sz w:val="18"/>
                <w:szCs w:val="18"/>
              </w:rPr>
              <w:t>:</w:t>
            </w:r>
          </w:p>
          <w:p w14:paraId="5884DFE4" w14:textId="77777777" w:rsidR="00B32760" w:rsidRPr="004E3F12" w:rsidRDefault="00B32760" w:rsidP="00255208">
            <w:pPr>
              <w:pStyle w:val="ListParagraph"/>
              <w:numPr>
                <w:ilvl w:val="0"/>
                <w:numId w:val="10"/>
              </w:numPr>
              <w:rPr>
                <w:sz w:val="18"/>
                <w:szCs w:val="18"/>
              </w:rPr>
            </w:pPr>
            <w:r w:rsidRPr="004E3F12">
              <w:rPr>
                <w:sz w:val="18"/>
                <w:szCs w:val="18"/>
              </w:rPr>
              <w:t>Business models for community based small ruminant breeding management, and improved genetics</w:t>
            </w:r>
          </w:p>
          <w:p w14:paraId="7C8E1DD8" w14:textId="77777777" w:rsidR="00B32760" w:rsidRPr="004E3F12" w:rsidRDefault="00B32760" w:rsidP="00255208">
            <w:pPr>
              <w:pStyle w:val="ListParagraph"/>
              <w:numPr>
                <w:ilvl w:val="0"/>
                <w:numId w:val="10"/>
              </w:numPr>
              <w:rPr>
                <w:sz w:val="18"/>
                <w:szCs w:val="18"/>
              </w:rPr>
            </w:pPr>
            <w:r w:rsidRPr="004E3F12">
              <w:rPr>
                <w:sz w:val="18"/>
                <w:szCs w:val="18"/>
              </w:rPr>
              <w:t>Business models for better linking dairy farmers to markets and services, through dairy producer business hubs</w:t>
            </w:r>
          </w:p>
          <w:p w14:paraId="731BD682" w14:textId="77777777" w:rsidR="00B32760" w:rsidRPr="004E3F12" w:rsidRDefault="00B32760" w:rsidP="00255208">
            <w:pPr>
              <w:pStyle w:val="ListParagraph"/>
              <w:numPr>
                <w:ilvl w:val="0"/>
                <w:numId w:val="10"/>
              </w:numPr>
              <w:rPr>
                <w:sz w:val="18"/>
                <w:szCs w:val="18"/>
              </w:rPr>
            </w:pPr>
            <w:r w:rsidRPr="004E3F12">
              <w:rPr>
                <w:sz w:val="18"/>
                <w:szCs w:val="18"/>
              </w:rPr>
              <w:t>Business models for better managing small producer collective action (</w:t>
            </w:r>
            <w:proofErr w:type="spellStart"/>
            <w:r w:rsidRPr="004E3F12">
              <w:rPr>
                <w:sz w:val="18"/>
                <w:szCs w:val="18"/>
              </w:rPr>
              <w:t>eg</w:t>
            </w:r>
            <w:proofErr w:type="spellEnd"/>
            <w:r w:rsidRPr="004E3F12">
              <w:rPr>
                <w:sz w:val="18"/>
                <w:szCs w:val="18"/>
              </w:rPr>
              <w:t xml:space="preserve"> small ruminants or poultry)</w:t>
            </w:r>
          </w:p>
          <w:p w14:paraId="0E0140ED" w14:textId="77777777" w:rsidR="00B32760" w:rsidRPr="004E3F12" w:rsidRDefault="00B32760" w:rsidP="00255208">
            <w:pPr>
              <w:pStyle w:val="ListParagraph"/>
              <w:numPr>
                <w:ilvl w:val="0"/>
                <w:numId w:val="10"/>
              </w:numPr>
              <w:rPr>
                <w:sz w:val="18"/>
                <w:szCs w:val="18"/>
              </w:rPr>
            </w:pPr>
            <w:r w:rsidRPr="004E3F12">
              <w:rPr>
                <w:sz w:val="18"/>
                <w:szCs w:val="18"/>
              </w:rPr>
              <w:t>Innovation platform (IP) approaches (including training of trainer materials) for catalysing uptake of improved practices among smallholder livestock producers (</w:t>
            </w:r>
            <w:proofErr w:type="spellStart"/>
            <w:r w:rsidRPr="004E3F12">
              <w:rPr>
                <w:sz w:val="18"/>
                <w:szCs w:val="18"/>
              </w:rPr>
              <w:t>eg</w:t>
            </w:r>
            <w:proofErr w:type="spellEnd"/>
            <w:r w:rsidRPr="004E3F12">
              <w:rPr>
                <w:sz w:val="18"/>
                <w:szCs w:val="18"/>
              </w:rPr>
              <w:t xml:space="preserve"> goats), and improving market access</w:t>
            </w:r>
          </w:p>
          <w:p w14:paraId="295779C8" w14:textId="77777777" w:rsidR="00606BA5" w:rsidRDefault="00606BA5" w:rsidP="00255208">
            <w:pPr>
              <w:rPr>
                <w:sz w:val="18"/>
                <w:szCs w:val="18"/>
              </w:rPr>
            </w:pPr>
          </w:p>
          <w:p w14:paraId="612475C6" w14:textId="77777777" w:rsidR="00B32760" w:rsidRPr="004E3F12" w:rsidRDefault="00B32760" w:rsidP="00255208">
            <w:pPr>
              <w:rPr>
                <w:sz w:val="18"/>
                <w:szCs w:val="18"/>
              </w:rPr>
            </w:pPr>
            <w:r w:rsidRPr="004E3F12">
              <w:rPr>
                <w:sz w:val="18"/>
                <w:szCs w:val="18"/>
              </w:rPr>
              <w:t>Training and certification approaches to upgrade informal livestock product markets, targeting capacity development among small informal traders such as raw milk traders or traditional artisanal processors</w:t>
            </w:r>
          </w:p>
        </w:tc>
        <w:tc>
          <w:tcPr>
            <w:tcW w:w="1001" w:type="pct"/>
          </w:tcPr>
          <w:p w14:paraId="43B3BBF3" w14:textId="77777777" w:rsidR="00EF1C50" w:rsidRDefault="00EF1C50" w:rsidP="00EF1C50">
            <w:pPr>
              <w:rPr>
                <w:sz w:val="18"/>
                <w:szCs w:val="18"/>
              </w:rPr>
            </w:pPr>
            <w:r>
              <w:rPr>
                <w:sz w:val="18"/>
                <w:szCs w:val="18"/>
              </w:rPr>
              <w:t>The flagship narrative has been updated as follows:</w:t>
            </w:r>
          </w:p>
          <w:p w14:paraId="613E28ED" w14:textId="77777777" w:rsidR="00EF1C50" w:rsidRDefault="00EF1C50" w:rsidP="00CC3752">
            <w:pPr>
              <w:rPr>
                <w:sz w:val="18"/>
                <w:szCs w:val="18"/>
              </w:rPr>
            </w:pPr>
          </w:p>
          <w:p w14:paraId="1D1A0A37" w14:textId="01EADCC3" w:rsidR="00CC3752" w:rsidRDefault="00CC3752" w:rsidP="00CC3752">
            <w:pPr>
              <w:rPr>
                <w:sz w:val="18"/>
                <w:szCs w:val="18"/>
              </w:rPr>
            </w:pPr>
            <w:r w:rsidRPr="004E3F12">
              <w:rPr>
                <w:sz w:val="18"/>
                <w:szCs w:val="18"/>
              </w:rPr>
              <w:t>Section 2.5.1.6:</w:t>
            </w:r>
            <w:r w:rsidR="00EF1C50">
              <w:rPr>
                <w:sz w:val="18"/>
                <w:szCs w:val="18"/>
              </w:rPr>
              <w:t xml:space="preserve"> Changes on page 1</w:t>
            </w:r>
            <w:r w:rsidR="00B35CFD">
              <w:rPr>
                <w:sz w:val="18"/>
                <w:szCs w:val="18"/>
              </w:rPr>
              <w:t>82</w:t>
            </w:r>
          </w:p>
          <w:p w14:paraId="28B4E929" w14:textId="77777777" w:rsidR="00EF1C50" w:rsidRPr="004E3F12" w:rsidRDefault="00EF1C50" w:rsidP="00CC3752">
            <w:pPr>
              <w:rPr>
                <w:sz w:val="18"/>
                <w:szCs w:val="18"/>
              </w:rPr>
            </w:pPr>
          </w:p>
          <w:p w14:paraId="196A3D9D" w14:textId="77777777" w:rsidR="00CC3752" w:rsidRPr="004E3F12" w:rsidRDefault="00CC3752" w:rsidP="00CC3752">
            <w:pPr>
              <w:rPr>
                <w:sz w:val="18"/>
                <w:szCs w:val="18"/>
              </w:rPr>
            </w:pPr>
          </w:p>
          <w:p w14:paraId="4EC7172D" w14:textId="50CC09FC" w:rsidR="00CC3752" w:rsidRPr="004E3F12" w:rsidRDefault="00CC3752" w:rsidP="00CC3752">
            <w:pPr>
              <w:rPr>
                <w:sz w:val="18"/>
                <w:szCs w:val="18"/>
              </w:rPr>
            </w:pPr>
          </w:p>
        </w:tc>
      </w:tr>
      <w:tr w:rsidR="000F1200" w:rsidRPr="004E3F12" w14:paraId="02F721E6" w14:textId="77777777" w:rsidTr="00846407">
        <w:tc>
          <w:tcPr>
            <w:tcW w:w="1063" w:type="pct"/>
          </w:tcPr>
          <w:p w14:paraId="5C4FE49A" w14:textId="3F61944C" w:rsidR="000F1200" w:rsidRPr="004E3F12" w:rsidRDefault="000F1200" w:rsidP="00255208">
            <w:pPr>
              <w:rPr>
                <w:sz w:val="18"/>
                <w:szCs w:val="18"/>
              </w:rPr>
            </w:pPr>
            <w:r w:rsidRPr="004E3F12">
              <w:rPr>
                <w:sz w:val="18"/>
                <w:szCs w:val="18"/>
              </w:rPr>
              <w:t>It also noted that (1) there were few signs of scaling technologies or methods beyond the countries in which research is taking place, (2) the nine hubs operate as separate research programs (p11)</w:t>
            </w:r>
          </w:p>
        </w:tc>
        <w:tc>
          <w:tcPr>
            <w:tcW w:w="2936" w:type="pct"/>
            <w:vMerge w:val="restart"/>
          </w:tcPr>
          <w:p w14:paraId="0001E1DC" w14:textId="7A2FF2E5" w:rsidR="0077659B" w:rsidRPr="004E3F12" w:rsidRDefault="000F1200" w:rsidP="0040502B">
            <w:pPr>
              <w:rPr>
                <w:sz w:val="18"/>
                <w:szCs w:val="18"/>
              </w:rPr>
            </w:pPr>
            <w:r w:rsidRPr="004E3F12">
              <w:rPr>
                <w:sz w:val="18"/>
                <w:szCs w:val="18"/>
              </w:rPr>
              <w:t xml:space="preserve">Several of the approaches and materials developed above (e.g. innovation platforms, training and certification) have been adopted by national partners in other countries and scaled up for their own purposes. </w:t>
            </w:r>
            <w:r w:rsidR="0040502B">
              <w:rPr>
                <w:sz w:val="18"/>
                <w:szCs w:val="18"/>
              </w:rPr>
              <w:t xml:space="preserve">The CRP </w:t>
            </w:r>
            <w:r w:rsidRPr="004E3F12">
              <w:rPr>
                <w:sz w:val="18"/>
                <w:szCs w:val="18"/>
              </w:rPr>
              <w:t xml:space="preserve">actively promoted </w:t>
            </w:r>
            <w:r w:rsidR="0040502B">
              <w:rPr>
                <w:sz w:val="18"/>
                <w:szCs w:val="18"/>
              </w:rPr>
              <w:t>different types of uptake</w:t>
            </w:r>
            <w:r w:rsidRPr="004E3F12">
              <w:rPr>
                <w:sz w:val="18"/>
                <w:szCs w:val="18"/>
              </w:rPr>
              <w:t xml:space="preserve"> through </w:t>
            </w:r>
            <w:r w:rsidR="0040502B">
              <w:rPr>
                <w:sz w:val="18"/>
                <w:szCs w:val="18"/>
              </w:rPr>
              <w:t>making products widely accessible, investing in different communications media and channels, and taking results to international fora.</w:t>
            </w:r>
          </w:p>
        </w:tc>
        <w:tc>
          <w:tcPr>
            <w:tcW w:w="1001" w:type="pct"/>
          </w:tcPr>
          <w:p w14:paraId="63425657" w14:textId="77777777" w:rsidR="000F1200" w:rsidRPr="004E3F12" w:rsidRDefault="000F1200" w:rsidP="00255208">
            <w:pPr>
              <w:rPr>
                <w:sz w:val="18"/>
                <w:szCs w:val="18"/>
              </w:rPr>
            </w:pPr>
          </w:p>
        </w:tc>
      </w:tr>
      <w:tr w:rsidR="000F1200" w:rsidRPr="004E3F12" w14:paraId="1F28F4CB" w14:textId="77777777" w:rsidTr="00846407">
        <w:tc>
          <w:tcPr>
            <w:tcW w:w="1063" w:type="pct"/>
          </w:tcPr>
          <w:p w14:paraId="5DDC312C" w14:textId="77777777" w:rsidR="000F1200" w:rsidRPr="004E3F12" w:rsidRDefault="000F1200" w:rsidP="00255208">
            <w:pPr>
              <w:rPr>
                <w:sz w:val="18"/>
                <w:szCs w:val="18"/>
              </w:rPr>
            </w:pPr>
            <w:r w:rsidRPr="004E3F12">
              <w:rPr>
                <w:sz w:val="18"/>
                <w:szCs w:val="18"/>
              </w:rPr>
              <w:t xml:space="preserve">Hence, discussion of the effort that will be put in place to test interventions and to track how livelihoods are changed by different </w:t>
            </w:r>
            <w:r w:rsidRPr="004E3F12">
              <w:rPr>
                <w:sz w:val="18"/>
                <w:szCs w:val="18"/>
              </w:rPr>
              <w:lastRenderedPageBreak/>
              <w:t>value chain interventions and technologies will strengthen the proposal. (p11)</w:t>
            </w:r>
          </w:p>
        </w:tc>
        <w:tc>
          <w:tcPr>
            <w:tcW w:w="2936" w:type="pct"/>
            <w:vMerge/>
          </w:tcPr>
          <w:p w14:paraId="63573CCD" w14:textId="73537475" w:rsidR="000F1200" w:rsidRPr="004E3F12" w:rsidRDefault="000F1200" w:rsidP="00255208">
            <w:pPr>
              <w:rPr>
                <w:sz w:val="18"/>
                <w:szCs w:val="18"/>
              </w:rPr>
            </w:pPr>
          </w:p>
        </w:tc>
        <w:tc>
          <w:tcPr>
            <w:tcW w:w="1001" w:type="pct"/>
          </w:tcPr>
          <w:p w14:paraId="05698253" w14:textId="77777777" w:rsidR="0040502B" w:rsidRDefault="0040502B" w:rsidP="0040502B">
            <w:pPr>
              <w:rPr>
                <w:sz w:val="18"/>
                <w:szCs w:val="18"/>
              </w:rPr>
            </w:pPr>
            <w:r>
              <w:rPr>
                <w:sz w:val="18"/>
                <w:szCs w:val="18"/>
              </w:rPr>
              <w:t>The flagship narrative has been updated as follows:</w:t>
            </w:r>
          </w:p>
          <w:p w14:paraId="3BB94CB2" w14:textId="77777777" w:rsidR="0040502B" w:rsidRDefault="0040502B" w:rsidP="0040502B">
            <w:pPr>
              <w:rPr>
                <w:sz w:val="18"/>
                <w:szCs w:val="18"/>
              </w:rPr>
            </w:pPr>
          </w:p>
          <w:p w14:paraId="36D31AAA" w14:textId="5DAC4687" w:rsidR="0040502B" w:rsidRPr="004E3F12" w:rsidRDefault="0040502B" w:rsidP="0040502B">
            <w:pPr>
              <w:rPr>
                <w:sz w:val="18"/>
                <w:szCs w:val="18"/>
              </w:rPr>
            </w:pPr>
            <w:r>
              <w:rPr>
                <w:sz w:val="18"/>
                <w:szCs w:val="18"/>
              </w:rPr>
              <w:lastRenderedPageBreak/>
              <w:t>Section 2.5.1.5</w:t>
            </w:r>
            <w:r w:rsidRPr="004E3F12">
              <w:rPr>
                <w:sz w:val="18"/>
                <w:szCs w:val="18"/>
              </w:rPr>
              <w:t>:</w:t>
            </w:r>
            <w:r w:rsidR="00B35CFD">
              <w:rPr>
                <w:sz w:val="18"/>
                <w:szCs w:val="18"/>
              </w:rPr>
              <w:t xml:space="preserve"> Changes on page 177</w:t>
            </w:r>
          </w:p>
          <w:p w14:paraId="24C470D2" w14:textId="6E94A05E" w:rsidR="0040502B" w:rsidRPr="004E3F12" w:rsidRDefault="0040502B" w:rsidP="0040502B">
            <w:pPr>
              <w:rPr>
                <w:sz w:val="18"/>
                <w:szCs w:val="18"/>
              </w:rPr>
            </w:pPr>
          </w:p>
        </w:tc>
      </w:tr>
      <w:tr w:rsidR="00B32760" w:rsidRPr="004E3F12" w14:paraId="2AE5C6B0" w14:textId="77777777" w:rsidTr="00846407">
        <w:tc>
          <w:tcPr>
            <w:tcW w:w="1063" w:type="pct"/>
          </w:tcPr>
          <w:p w14:paraId="2242F540" w14:textId="2DED2314" w:rsidR="00B32760" w:rsidRPr="004E3F12" w:rsidRDefault="00B32760" w:rsidP="0080437D">
            <w:pPr>
              <w:rPr>
                <w:sz w:val="18"/>
                <w:szCs w:val="18"/>
              </w:rPr>
            </w:pPr>
            <w:r w:rsidRPr="004E3F12">
              <w:rPr>
                <w:sz w:val="18"/>
                <w:szCs w:val="18"/>
              </w:rPr>
              <w:lastRenderedPageBreak/>
              <w:t xml:space="preserve">The design of the </w:t>
            </w:r>
            <w:r w:rsidR="0080437D">
              <w:rPr>
                <w:sz w:val="18"/>
                <w:szCs w:val="18"/>
              </w:rPr>
              <w:t>flagship</w:t>
            </w:r>
            <w:r w:rsidRPr="004E3F12">
              <w:rPr>
                <w:sz w:val="18"/>
                <w:szCs w:val="18"/>
              </w:rPr>
              <w:t xml:space="preserve"> requires very close collaboration with non-CGIAR development institutions leaving open questions of how this will occur, and who (within the CRP) has the resource (time) and experience</w:t>
            </w:r>
            <w:r w:rsidR="0080437D">
              <w:rPr>
                <w:sz w:val="18"/>
                <w:szCs w:val="18"/>
              </w:rPr>
              <w:t xml:space="preserve"> </w:t>
            </w:r>
            <w:r w:rsidRPr="004E3F12">
              <w:rPr>
                <w:sz w:val="18"/>
                <w:szCs w:val="18"/>
              </w:rPr>
              <w:t>needed to manage such implementation. (p12)</w:t>
            </w:r>
          </w:p>
        </w:tc>
        <w:tc>
          <w:tcPr>
            <w:tcW w:w="2936" w:type="pct"/>
          </w:tcPr>
          <w:p w14:paraId="0E1EE972" w14:textId="279613B0" w:rsidR="00CC3752" w:rsidRPr="004E3F12" w:rsidRDefault="00CC3752" w:rsidP="00CC3752">
            <w:pPr>
              <w:rPr>
                <w:sz w:val="18"/>
                <w:szCs w:val="18"/>
              </w:rPr>
            </w:pPr>
            <w:r w:rsidRPr="004E3F12">
              <w:rPr>
                <w:sz w:val="18"/>
                <w:szCs w:val="18"/>
              </w:rPr>
              <w:t>Several of the teams involved in</w:t>
            </w:r>
            <w:r w:rsidR="00606BA5">
              <w:rPr>
                <w:sz w:val="18"/>
                <w:szCs w:val="18"/>
              </w:rPr>
              <w:t xml:space="preserve"> this flagship</w:t>
            </w:r>
            <w:r w:rsidRPr="004E3F12">
              <w:rPr>
                <w:sz w:val="18"/>
                <w:szCs w:val="18"/>
              </w:rPr>
              <w:t xml:space="preserve"> have enormous experience in working as knowledge and technical partners with non-CGIAR development agencies.  Team CVs illustrate th</w:t>
            </w:r>
            <w:r w:rsidR="00606BA5">
              <w:rPr>
                <w:sz w:val="18"/>
                <w:szCs w:val="18"/>
              </w:rPr>
              <w:t>is</w:t>
            </w:r>
            <w:r w:rsidRPr="004E3F12">
              <w:rPr>
                <w:sz w:val="18"/>
                <w:szCs w:val="18"/>
              </w:rPr>
              <w:t xml:space="preserve">. </w:t>
            </w:r>
          </w:p>
          <w:p w14:paraId="52EE7695" w14:textId="77777777" w:rsidR="00CC3752" w:rsidRPr="004E3F12" w:rsidRDefault="00CC3752" w:rsidP="00CC3752">
            <w:pPr>
              <w:rPr>
                <w:sz w:val="18"/>
                <w:szCs w:val="18"/>
              </w:rPr>
            </w:pPr>
          </w:p>
          <w:p w14:paraId="21480680" w14:textId="1FEB575F" w:rsidR="00CC3752" w:rsidRPr="004E3F12" w:rsidRDefault="00606BA5" w:rsidP="00CC3752">
            <w:pPr>
              <w:rPr>
                <w:sz w:val="18"/>
                <w:szCs w:val="18"/>
              </w:rPr>
            </w:pPr>
            <w:r>
              <w:rPr>
                <w:sz w:val="18"/>
                <w:szCs w:val="18"/>
              </w:rPr>
              <w:t xml:space="preserve">The CRP </w:t>
            </w:r>
            <w:r w:rsidR="00CC3752" w:rsidRPr="004E3F12">
              <w:rPr>
                <w:sz w:val="18"/>
                <w:szCs w:val="18"/>
              </w:rPr>
              <w:t>also employ</w:t>
            </w:r>
            <w:r>
              <w:rPr>
                <w:sz w:val="18"/>
                <w:szCs w:val="18"/>
              </w:rPr>
              <w:t>s</w:t>
            </w:r>
            <w:r w:rsidR="00CC3752" w:rsidRPr="004E3F12">
              <w:rPr>
                <w:sz w:val="18"/>
                <w:szCs w:val="18"/>
              </w:rPr>
              <w:t xml:space="preserve"> partnership planning tools such as Outcome Mapping to jointly develop and monitor R4D objectives and activities with partners, for more effective joint efforts. Project examples include the large BMGF funded East Africa Dairy Development Project, and the CIDA funded LIVES project. GIZ also brings some of the needed experience and skills to support these partnerships.</w:t>
            </w:r>
          </w:p>
          <w:p w14:paraId="7A833FFF" w14:textId="77777777" w:rsidR="00B32760" w:rsidRPr="004E3F12" w:rsidRDefault="00B32760" w:rsidP="00255208">
            <w:pPr>
              <w:rPr>
                <w:sz w:val="18"/>
                <w:szCs w:val="18"/>
              </w:rPr>
            </w:pPr>
          </w:p>
        </w:tc>
        <w:tc>
          <w:tcPr>
            <w:tcW w:w="1001" w:type="pct"/>
          </w:tcPr>
          <w:p w14:paraId="71D9DB25" w14:textId="3BFD44F1" w:rsidR="00B32760" w:rsidRPr="004E3F12" w:rsidRDefault="00CC3752" w:rsidP="00255208">
            <w:pPr>
              <w:rPr>
                <w:sz w:val="18"/>
                <w:szCs w:val="18"/>
              </w:rPr>
            </w:pPr>
            <w:r w:rsidRPr="00606BA5">
              <w:rPr>
                <w:sz w:val="18"/>
                <w:szCs w:val="18"/>
              </w:rPr>
              <w:t>See</w:t>
            </w:r>
            <w:r w:rsidR="000F1200" w:rsidRPr="00606BA5">
              <w:rPr>
                <w:sz w:val="18"/>
                <w:szCs w:val="18"/>
              </w:rPr>
              <w:t xml:space="preserve"> Annex</w:t>
            </w:r>
            <w:r w:rsidR="00DD1CBC">
              <w:rPr>
                <w:sz w:val="18"/>
                <w:szCs w:val="18"/>
              </w:rPr>
              <w:t xml:space="preserve"> 3.7, page 135</w:t>
            </w:r>
            <w:r w:rsidRPr="00606BA5">
              <w:rPr>
                <w:sz w:val="18"/>
                <w:szCs w:val="18"/>
              </w:rPr>
              <w:t xml:space="preserve"> onwards</w:t>
            </w:r>
            <w:r w:rsidR="000F1200" w:rsidRPr="004E3F12">
              <w:rPr>
                <w:sz w:val="18"/>
                <w:szCs w:val="18"/>
              </w:rPr>
              <w:t xml:space="preserve"> </w:t>
            </w:r>
          </w:p>
          <w:p w14:paraId="4DB906A3" w14:textId="77777777" w:rsidR="000F1200" w:rsidRPr="004E3F12" w:rsidRDefault="000F1200" w:rsidP="00255208">
            <w:pPr>
              <w:rPr>
                <w:sz w:val="18"/>
                <w:szCs w:val="18"/>
              </w:rPr>
            </w:pPr>
          </w:p>
          <w:p w14:paraId="183B02C4" w14:textId="1D830F9D" w:rsidR="000F1200" w:rsidRPr="004E3F12" w:rsidRDefault="000F1200" w:rsidP="00255208">
            <w:pPr>
              <w:rPr>
                <w:sz w:val="18"/>
                <w:szCs w:val="18"/>
              </w:rPr>
            </w:pPr>
          </w:p>
        </w:tc>
      </w:tr>
      <w:tr w:rsidR="00B32760" w:rsidRPr="004E3F12" w14:paraId="02B95194" w14:textId="77777777" w:rsidTr="00846407">
        <w:tc>
          <w:tcPr>
            <w:tcW w:w="1063" w:type="pct"/>
          </w:tcPr>
          <w:p w14:paraId="4C040B3A" w14:textId="5A5B34EA" w:rsidR="00B32760" w:rsidRPr="004E3F12" w:rsidRDefault="00B32760" w:rsidP="0080437D">
            <w:pPr>
              <w:rPr>
                <w:sz w:val="18"/>
                <w:szCs w:val="18"/>
              </w:rPr>
            </w:pPr>
            <w:r w:rsidRPr="004E3F12">
              <w:rPr>
                <w:sz w:val="18"/>
                <w:szCs w:val="18"/>
              </w:rPr>
              <w:t xml:space="preserve">The budget, however, appears small to fund local implementation activities, and it is assumed that these activities are primarily funded from other sources. If the </w:t>
            </w:r>
            <w:r w:rsidR="0080437D">
              <w:rPr>
                <w:sz w:val="18"/>
                <w:szCs w:val="18"/>
              </w:rPr>
              <w:t>flagship</w:t>
            </w:r>
            <w:r w:rsidRPr="004E3F12">
              <w:rPr>
                <w:sz w:val="18"/>
                <w:szCs w:val="18"/>
              </w:rPr>
              <w:t>, however, intends to pay for the full cost of interventions, it is unlikely to be able to do all that it describes and deliver information on what works and what doesn’t. (p12)</w:t>
            </w:r>
          </w:p>
        </w:tc>
        <w:tc>
          <w:tcPr>
            <w:tcW w:w="2936" w:type="pct"/>
          </w:tcPr>
          <w:p w14:paraId="522FA03D" w14:textId="620D8865" w:rsidR="00B32760" w:rsidRPr="004E3F12" w:rsidRDefault="00B32760" w:rsidP="00255208">
            <w:pPr>
              <w:rPr>
                <w:sz w:val="18"/>
                <w:szCs w:val="18"/>
              </w:rPr>
            </w:pPr>
            <w:r w:rsidRPr="004E3F12">
              <w:rPr>
                <w:sz w:val="18"/>
                <w:szCs w:val="18"/>
              </w:rPr>
              <w:t xml:space="preserve">While the W1/W2 budget is relatively small, this </w:t>
            </w:r>
            <w:r w:rsidR="00606BA5">
              <w:rPr>
                <w:sz w:val="18"/>
                <w:szCs w:val="18"/>
              </w:rPr>
              <w:t>flagship</w:t>
            </w:r>
            <w:r w:rsidRPr="004E3F12">
              <w:rPr>
                <w:sz w:val="18"/>
                <w:szCs w:val="18"/>
              </w:rPr>
              <w:t xml:space="preserve"> has the largest share of W3 funding in the CRP. Because of the successful delivery of applied knowledge projects for development partners, we are confident of our ability to continue to attract significant W3 funding.</w:t>
            </w:r>
          </w:p>
          <w:p w14:paraId="08231AC8" w14:textId="77777777" w:rsidR="00B32760" w:rsidRPr="004E3F12" w:rsidRDefault="00B32760" w:rsidP="00255208">
            <w:pPr>
              <w:rPr>
                <w:sz w:val="18"/>
                <w:szCs w:val="18"/>
              </w:rPr>
            </w:pPr>
          </w:p>
        </w:tc>
        <w:tc>
          <w:tcPr>
            <w:tcW w:w="1001" w:type="pct"/>
          </w:tcPr>
          <w:p w14:paraId="45C71D3C" w14:textId="77777777" w:rsidR="00B32760" w:rsidRPr="004E3F12" w:rsidRDefault="00B32760" w:rsidP="00255208">
            <w:pPr>
              <w:rPr>
                <w:sz w:val="18"/>
                <w:szCs w:val="18"/>
              </w:rPr>
            </w:pPr>
          </w:p>
        </w:tc>
      </w:tr>
      <w:tr w:rsidR="00743A83" w:rsidRPr="004E3F12" w14:paraId="417A3EA5" w14:textId="77777777" w:rsidTr="00FC5D20">
        <w:tc>
          <w:tcPr>
            <w:tcW w:w="5000" w:type="pct"/>
            <w:gridSpan w:val="3"/>
            <w:shd w:val="clear" w:color="auto" w:fill="5B9BD5" w:themeFill="accent1"/>
          </w:tcPr>
          <w:p w14:paraId="1556E41F" w14:textId="05F1C583" w:rsidR="00743A83" w:rsidRPr="004E3F12" w:rsidRDefault="00743A83" w:rsidP="00255208">
            <w:pPr>
              <w:rPr>
                <w:sz w:val="18"/>
                <w:szCs w:val="18"/>
              </w:rPr>
            </w:pPr>
            <w:r w:rsidRPr="004E3F12">
              <w:rPr>
                <w:sz w:val="18"/>
                <w:szCs w:val="18"/>
              </w:rPr>
              <w:t>Other responses</w:t>
            </w:r>
          </w:p>
        </w:tc>
      </w:tr>
      <w:tr w:rsidR="00743A83" w:rsidRPr="004E3F12" w14:paraId="4CC6D048" w14:textId="77777777" w:rsidTr="00846407">
        <w:tc>
          <w:tcPr>
            <w:tcW w:w="1063" w:type="pct"/>
            <w:shd w:val="clear" w:color="auto" w:fill="FFFFFF" w:themeFill="background1"/>
          </w:tcPr>
          <w:p w14:paraId="2C49ED09" w14:textId="626DC21B" w:rsidR="00743A83" w:rsidRPr="004E3F12" w:rsidRDefault="00743A83" w:rsidP="00255208">
            <w:pPr>
              <w:rPr>
                <w:sz w:val="18"/>
                <w:szCs w:val="18"/>
              </w:rPr>
            </w:pPr>
            <w:r w:rsidRPr="004E3F12">
              <w:rPr>
                <w:sz w:val="18"/>
                <w:szCs w:val="18"/>
              </w:rPr>
              <w:t>CRP Director appointment</w:t>
            </w:r>
          </w:p>
        </w:tc>
        <w:tc>
          <w:tcPr>
            <w:tcW w:w="2936" w:type="pct"/>
            <w:shd w:val="clear" w:color="auto" w:fill="FFFFFF" w:themeFill="background1"/>
          </w:tcPr>
          <w:p w14:paraId="5F11B617" w14:textId="77777777" w:rsidR="00743A83" w:rsidRPr="004E3F12" w:rsidRDefault="00743A83" w:rsidP="00255208">
            <w:pPr>
              <w:rPr>
                <w:sz w:val="18"/>
                <w:szCs w:val="18"/>
              </w:rPr>
            </w:pPr>
            <w:r w:rsidRPr="00606BA5">
              <w:rPr>
                <w:sz w:val="18"/>
                <w:szCs w:val="18"/>
              </w:rPr>
              <w:t xml:space="preserve">In </w:t>
            </w:r>
            <w:r w:rsidR="00184492" w:rsidRPr="00606BA5">
              <w:rPr>
                <w:sz w:val="18"/>
                <w:szCs w:val="18"/>
              </w:rPr>
              <w:t>consultation</w:t>
            </w:r>
            <w:r w:rsidRPr="00606BA5">
              <w:rPr>
                <w:sz w:val="18"/>
                <w:szCs w:val="18"/>
              </w:rPr>
              <w:t xml:space="preserve"> with the other program partners, Tom Randolph was appointed Director of the CRP.</w:t>
            </w:r>
          </w:p>
          <w:p w14:paraId="45836C71" w14:textId="77777777" w:rsidR="00E43500" w:rsidRPr="004E3F12" w:rsidRDefault="00E43500" w:rsidP="00255208">
            <w:pPr>
              <w:rPr>
                <w:sz w:val="18"/>
                <w:szCs w:val="18"/>
              </w:rPr>
            </w:pPr>
          </w:p>
          <w:p w14:paraId="5DE40DF4" w14:textId="77777777" w:rsidR="00E43500" w:rsidRPr="004E3F12" w:rsidRDefault="00E43500" w:rsidP="00255208">
            <w:pPr>
              <w:rPr>
                <w:sz w:val="18"/>
                <w:szCs w:val="18"/>
              </w:rPr>
            </w:pPr>
          </w:p>
          <w:p w14:paraId="2B173149" w14:textId="7DCBB5BE" w:rsidR="00E43500" w:rsidRPr="004E3F12" w:rsidRDefault="00E43500" w:rsidP="00255208">
            <w:pPr>
              <w:rPr>
                <w:sz w:val="18"/>
                <w:szCs w:val="18"/>
              </w:rPr>
            </w:pPr>
          </w:p>
        </w:tc>
        <w:tc>
          <w:tcPr>
            <w:tcW w:w="1001" w:type="pct"/>
            <w:shd w:val="clear" w:color="auto" w:fill="FFFFFF" w:themeFill="background1"/>
          </w:tcPr>
          <w:p w14:paraId="0B0838E1" w14:textId="77777777" w:rsidR="00743A83" w:rsidRDefault="00743A83" w:rsidP="00255208">
            <w:pPr>
              <w:rPr>
                <w:sz w:val="18"/>
                <w:szCs w:val="18"/>
              </w:rPr>
            </w:pPr>
            <w:r w:rsidRPr="004E3F12">
              <w:rPr>
                <w:sz w:val="18"/>
                <w:szCs w:val="18"/>
              </w:rPr>
              <w:t>CV provided in Annex 3.7</w:t>
            </w:r>
          </w:p>
          <w:p w14:paraId="07A73463" w14:textId="77777777" w:rsidR="00701040" w:rsidRPr="004E3F12" w:rsidRDefault="00701040" w:rsidP="00255208">
            <w:pPr>
              <w:rPr>
                <w:sz w:val="18"/>
                <w:szCs w:val="18"/>
              </w:rPr>
            </w:pPr>
          </w:p>
          <w:p w14:paraId="649C8440" w14:textId="0DC87676" w:rsidR="00184492" w:rsidRPr="004E3F12" w:rsidRDefault="00184492" w:rsidP="00255208">
            <w:pPr>
              <w:rPr>
                <w:sz w:val="18"/>
                <w:szCs w:val="18"/>
              </w:rPr>
            </w:pPr>
            <w:r w:rsidRPr="004E3F12">
              <w:rPr>
                <w:sz w:val="18"/>
                <w:szCs w:val="18"/>
              </w:rPr>
              <w:t xml:space="preserve">Section 1.0.11 </w:t>
            </w:r>
            <w:r w:rsidR="00606BA5">
              <w:rPr>
                <w:sz w:val="18"/>
                <w:szCs w:val="18"/>
              </w:rPr>
              <w:t xml:space="preserve">in the overall </w:t>
            </w:r>
            <w:r w:rsidRPr="004E3F12">
              <w:rPr>
                <w:sz w:val="18"/>
                <w:szCs w:val="18"/>
              </w:rPr>
              <w:t>narrative amended</w:t>
            </w:r>
            <w:r w:rsidR="00E43500" w:rsidRPr="004E3F12">
              <w:rPr>
                <w:sz w:val="18"/>
                <w:szCs w:val="18"/>
              </w:rPr>
              <w:t xml:space="preserve"> on page 38</w:t>
            </w:r>
          </w:p>
          <w:p w14:paraId="3B3A75D2" w14:textId="557AD725" w:rsidR="00184492" w:rsidRPr="004E3F12" w:rsidRDefault="00184492" w:rsidP="00255208">
            <w:pPr>
              <w:rPr>
                <w:sz w:val="18"/>
                <w:szCs w:val="18"/>
              </w:rPr>
            </w:pPr>
          </w:p>
        </w:tc>
      </w:tr>
      <w:tr w:rsidR="00FC5D20" w:rsidRPr="004E3F12" w14:paraId="46705D5D" w14:textId="77777777" w:rsidTr="00846407">
        <w:tc>
          <w:tcPr>
            <w:tcW w:w="1063" w:type="pct"/>
            <w:shd w:val="clear" w:color="auto" w:fill="FFFFFF" w:themeFill="background1"/>
          </w:tcPr>
          <w:p w14:paraId="3492BFB7" w14:textId="638A74F9" w:rsidR="00FC5D20" w:rsidRPr="004E3F12" w:rsidRDefault="00FC5D20" w:rsidP="00FC5D20">
            <w:pPr>
              <w:rPr>
                <w:sz w:val="18"/>
                <w:szCs w:val="18"/>
              </w:rPr>
            </w:pPr>
            <w:r w:rsidRPr="004E3F12">
              <w:rPr>
                <w:sz w:val="18"/>
                <w:szCs w:val="18"/>
              </w:rPr>
              <w:t>Management budgets</w:t>
            </w:r>
          </w:p>
        </w:tc>
        <w:tc>
          <w:tcPr>
            <w:tcW w:w="2936" w:type="pct"/>
            <w:shd w:val="clear" w:color="auto" w:fill="FFFFFF" w:themeFill="background1"/>
          </w:tcPr>
          <w:p w14:paraId="7564BFF8" w14:textId="4ACDE215" w:rsidR="00FC5D20" w:rsidRDefault="00FC5D20" w:rsidP="00FC5D20">
            <w:pPr>
              <w:rPr>
                <w:sz w:val="18"/>
                <w:szCs w:val="18"/>
              </w:rPr>
            </w:pPr>
            <w:r>
              <w:rPr>
                <w:sz w:val="18"/>
                <w:szCs w:val="18"/>
              </w:rPr>
              <w:t>The table providing a breakdown of management support costs (MSC) in the harmonized format agreed by the CRP directors and the SMO is provided in the row below.</w:t>
            </w:r>
          </w:p>
          <w:p w14:paraId="259C9EAF" w14:textId="77777777" w:rsidR="00FC5D20" w:rsidRDefault="00FC5D20" w:rsidP="00FC5D20">
            <w:pPr>
              <w:rPr>
                <w:sz w:val="18"/>
                <w:szCs w:val="18"/>
              </w:rPr>
            </w:pPr>
          </w:p>
          <w:p w14:paraId="7CD18E91" w14:textId="372CC236" w:rsidR="00FC5D20" w:rsidRPr="004E3F12" w:rsidRDefault="00FC5D20" w:rsidP="00FC5D20">
            <w:pPr>
              <w:rPr>
                <w:sz w:val="18"/>
                <w:szCs w:val="18"/>
              </w:rPr>
            </w:pPr>
            <w:r>
              <w:rPr>
                <w:sz w:val="18"/>
                <w:szCs w:val="18"/>
              </w:rPr>
              <w:t xml:space="preserve">Note: There is a small discrepancy between the total MSC amounts reported for 2019, 2022 and the 6-year total due to the internal audit costs being left out when submitted in March. </w:t>
            </w:r>
          </w:p>
        </w:tc>
        <w:tc>
          <w:tcPr>
            <w:tcW w:w="1001" w:type="pct"/>
            <w:shd w:val="clear" w:color="auto" w:fill="FFFFFF" w:themeFill="background1"/>
          </w:tcPr>
          <w:p w14:paraId="0E574EA2" w14:textId="5A803A17" w:rsidR="00FC5D20" w:rsidRPr="004E3F12" w:rsidRDefault="00FC5D20" w:rsidP="00FC5D20">
            <w:pPr>
              <w:rPr>
                <w:sz w:val="18"/>
                <w:szCs w:val="18"/>
              </w:rPr>
            </w:pPr>
            <w:r>
              <w:rPr>
                <w:sz w:val="18"/>
                <w:szCs w:val="18"/>
              </w:rPr>
              <w:t>The table below has been inser</w:t>
            </w:r>
            <w:r w:rsidR="00813D64">
              <w:rPr>
                <w:sz w:val="18"/>
                <w:szCs w:val="18"/>
              </w:rPr>
              <w:t>ted at the end of section 1.1.4 (pages 47-49)</w:t>
            </w:r>
          </w:p>
        </w:tc>
      </w:tr>
      <w:tr w:rsidR="00FC5D20" w:rsidRPr="004E3F12" w14:paraId="081F103C" w14:textId="77777777" w:rsidTr="00FC5D20">
        <w:tc>
          <w:tcPr>
            <w:tcW w:w="5000" w:type="pct"/>
            <w:gridSpan w:val="3"/>
            <w:shd w:val="clear" w:color="auto" w:fill="FFFFFF" w:themeFill="background1"/>
          </w:tcPr>
          <w:p w14:paraId="10B7318A" w14:textId="4B274523" w:rsidR="00FC5D20" w:rsidRDefault="00FC5D20" w:rsidP="00FC5D20">
            <w:pPr>
              <w:shd w:val="clear" w:color="auto" w:fill="FFFFFF"/>
              <w:spacing w:after="160" w:line="259" w:lineRule="auto"/>
              <w:rPr>
                <w:rFonts w:ascii="Calibri" w:hAnsi="Calibri" w:cs="Times New Roman"/>
                <w:b/>
                <w:sz w:val="18"/>
                <w:szCs w:val="18"/>
                <w:lang w:eastAsia="en-GB"/>
              </w:rPr>
            </w:pPr>
            <w:r w:rsidRPr="00FC5D20">
              <w:rPr>
                <w:rFonts w:ascii="Calibri" w:hAnsi="Calibri" w:cs="Times New Roman"/>
                <w:b/>
                <w:sz w:val="18"/>
                <w:szCs w:val="18"/>
                <w:lang w:eastAsia="en-GB"/>
              </w:rPr>
              <w:t>Table 1.1.4. Explanation of M</w:t>
            </w:r>
            <w:r w:rsidR="00846407">
              <w:rPr>
                <w:rFonts w:ascii="Calibri" w:hAnsi="Calibri" w:cs="Times New Roman"/>
                <w:b/>
                <w:sz w:val="18"/>
                <w:szCs w:val="18"/>
                <w:lang w:eastAsia="en-GB"/>
              </w:rPr>
              <w:t>anagement support cost</w:t>
            </w:r>
            <w:r w:rsidRPr="00FC5D20">
              <w:rPr>
                <w:rFonts w:ascii="Calibri" w:hAnsi="Calibri" w:cs="Times New Roman"/>
                <w:b/>
                <w:sz w:val="18"/>
                <w:szCs w:val="18"/>
                <w:lang w:eastAsia="en-GB"/>
              </w:rPr>
              <w:t xml:space="preserve"> budget components:</w:t>
            </w:r>
          </w:p>
          <w:tbl>
            <w:tblPr>
              <w:tblStyle w:val="TableGrid"/>
              <w:tblW w:w="5000" w:type="pct"/>
              <w:tblLook w:val="04A0" w:firstRow="1" w:lastRow="0" w:firstColumn="1" w:lastColumn="0" w:noHBand="0" w:noVBand="1"/>
            </w:tblPr>
            <w:tblGrid>
              <w:gridCol w:w="5878"/>
              <w:gridCol w:w="840"/>
              <w:gridCol w:w="980"/>
              <w:gridCol w:w="980"/>
              <w:gridCol w:w="980"/>
              <w:gridCol w:w="982"/>
              <w:gridCol w:w="980"/>
              <w:gridCol w:w="980"/>
              <w:gridCol w:w="1122"/>
            </w:tblGrid>
            <w:tr w:rsidR="00FC5D20" w:rsidRPr="00F709CE" w14:paraId="59403187" w14:textId="77777777" w:rsidTr="00FC5D20">
              <w:tc>
                <w:tcPr>
                  <w:tcW w:w="2142" w:type="pct"/>
                  <w:vMerge w:val="restart"/>
                </w:tcPr>
                <w:p w14:paraId="073C372F" w14:textId="77777777" w:rsidR="00FC5D20" w:rsidRPr="00F709CE" w:rsidRDefault="00FC5D20" w:rsidP="00FC5D20">
                  <w:pPr>
                    <w:rPr>
                      <w:rFonts w:ascii="Calibri" w:hAnsi="Calibri" w:cs="Times New Roman"/>
                      <w:b/>
                      <w:sz w:val="16"/>
                      <w:szCs w:val="16"/>
                      <w:lang w:eastAsia="en-GB"/>
                    </w:rPr>
                  </w:pPr>
                </w:p>
                <w:p w14:paraId="2C1DB8E1" w14:textId="77777777" w:rsidR="00FC5D20" w:rsidRPr="00F709CE" w:rsidRDefault="00FC5D20" w:rsidP="00FC5D20">
                  <w:pPr>
                    <w:rPr>
                      <w:rFonts w:ascii="Calibri" w:hAnsi="Calibri" w:cs="Times New Roman"/>
                      <w:b/>
                      <w:sz w:val="16"/>
                      <w:szCs w:val="16"/>
                      <w:lang w:eastAsia="en-GB"/>
                    </w:rPr>
                  </w:pPr>
                  <w:r w:rsidRPr="00F709CE">
                    <w:rPr>
                      <w:rFonts w:ascii="Calibri" w:hAnsi="Calibri" w:cs="Times New Roman"/>
                      <w:b/>
                      <w:sz w:val="16"/>
                      <w:szCs w:val="16"/>
                      <w:lang w:eastAsia="en-GB"/>
                    </w:rPr>
                    <w:t>COST COMPONENT</w:t>
                  </w:r>
                </w:p>
              </w:tc>
              <w:tc>
                <w:tcPr>
                  <w:tcW w:w="306" w:type="pct"/>
                </w:tcPr>
                <w:p w14:paraId="0B4A4910" w14:textId="77777777" w:rsidR="00FC5D20" w:rsidRPr="00F709CE" w:rsidRDefault="00FC5D20" w:rsidP="00FC5D20">
                  <w:pPr>
                    <w:rPr>
                      <w:rFonts w:ascii="Calibri" w:hAnsi="Calibri" w:cs="Times New Roman"/>
                      <w:sz w:val="16"/>
                      <w:szCs w:val="16"/>
                      <w:lang w:eastAsia="en-GB"/>
                    </w:rPr>
                  </w:pPr>
                </w:p>
              </w:tc>
              <w:tc>
                <w:tcPr>
                  <w:tcW w:w="2552" w:type="pct"/>
                  <w:gridSpan w:val="7"/>
                </w:tcPr>
                <w:p w14:paraId="3BE19C91"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AMOUNT BUDGETED</w:t>
                  </w:r>
                </w:p>
              </w:tc>
            </w:tr>
            <w:tr w:rsidR="00FC5D20" w:rsidRPr="00F709CE" w14:paraId="02C9D3F5" w14:textId="77777777" w:rsidTr="00FC5D20">
              <w:tc>
                <w:tcPr>
                  <w:tcW w:w="2142" w:type="pct"/>
                  <w:vMerge/>
                </w:tcPr>
                <w:p w14:paraId="0EB8F37E" w14:textId="77777777" w:rsidR="00FC5D20" w:rsidRPr="00F709CE" w:rsidRDefault="00FC5D20" w:rsidP="00FC5D20">
                  <w:pPr>
                    <w:rPr>
                      <w:rFonts w:ascii="Calibri" w:hAnsi="Calibri" w:cs="Times New Roman"/>
                      <w:sz w:val="16"/>
                      <w:szCs w:val="16"/>
                      <w:lang w:eastAsia="en-GB"/>
                    </w:rPr>
                  </w:pPr>
                </w:p>
              </w:tc>
              <w:tc>
                <w:tcPr>
                  <w:tcW w:w="306" w:type="pct"/>
                </w:tcPr>
                <w:p w14:paraId="6861EE61" w14:textId="77777777" w:rsidR="00FC5D20" w:rsidRPr="00F709CE" w:rsidRDefault="00FC5D20" w:rsidP="00FC5D20">
                  <w:pPr>
                    <w:rPr>
                      <w:rFonts w:ascii="Calibri" w:hAnsi="Calibri" w:cs="Times New Roman"/>
                      <w:sz w:val="16"/>
                      <w:szCs w:val="16"/>
                      <w:lang w:eastAsia="en-GB"/>
                    </w:rPr>
                  </w:pPr>
                </w:p>
              </w:tc>
              <w:tc>
                <w:tcPr>
                  <w:tcW w:w="357" w:type="pct"/>
                </w:tcPr>
                <w:p w14:paraId="1002F5A1"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2017</w:t>
                  </w:r>
                </w:p>
              </w:tc>
              <w:tc>
                <w:tcPr>
                  <w:tcW w:w="357" w:type="pct"/>
                </w:tcPr>
                <w:p w14:paraId="5C95D4AA"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2018</w:t>
                  </w:r>
                </w:p>
              </w:tc>
              <w:tc>
                <w:tcPr>
                  <w:tcW w:w="357" w:type="pct"/>
                </w:tcPr>
                <w:p w14:paraId="7B0C59EB"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2019</w:t>
                  </w:r>
                </w:p>
              </w:tc>
              <w:tc>
                <w:tcPr>
                  <w:tcW w:w="358" w:type="pct"/>
                </w:tcPr>
                <w:p w14:paraId="23E2763F"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2020</w:t>
                  </w:r>
                </w:p>
              </w:tc>
              <w:tc>
                <w:tcPr>
                  <w:tcW w:w="357" w:type="pct"/>
                </w:tcPr>
                <w:p w14:paraId="41DF1BB0"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2021</w:t>
                  </w:r>
                </w:p>
              </w:tc>
              <w:tc>
                <w:tcPr>
                  <w:tcW w:w="357" w:type="pct"/>
                </w:tcPr>
                <w:p w14:paraId="27360FBF"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2022</w:t>
                  </w:r>
                </w:p>
              </w:tc>
              <w:tc>
                <w:tcPr>
                  <w:tcW w:w="408" w:type="pct"/>
                </w:tcPr>
                <w:p w14:paraId="6006DFF0"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6-year Total</w:t>
                  </w:r>
                </w:p>
              </w:tc>
            </w:tr>
            <w:tr w:rsidR="00FC5D20" w:rsidRPr="00F709CE" w14:paraId="4D986D67" w14:textId="77777777" w:rsidTr="00FC5D20">
              <w:tc>
                <w:tcPr>
                  <w:tcW w:w="2142" w:type="pct"/>
                </w:tcPr>
                <w:p w14:paraId="13D50259" w14:textId="77777777" w:rsidR="00FC5D20" w:rsidRPr="00F709CE" w:rsidRDefault="00FC5D20" w:rsidP="00FC5D20">
                  <w:pPr>
                    <w:numPr>
                      <w:ilvl w:val="0"/>
                      <w:numId w:val="45"/>
                    </w:numPr>
                    <w:ind w:left="313" w:hanging="284"/>
                    <w:rPr>
                      <w:rFonts w:ascii="Calibri" w:hAnsi="Calibri" w:cs="Times New Roman"/>
                      <w:sz w:val="16"/>
                      <w:szCs w:val="16"/>
                      <w:lang w:eastAsia="en-GB"/>
                    </w:rPr>
                  </w:pPr>
                  <w:r w:rsidRPr="00F709CE">
                    <w:rPr>
                      <w:rFonts w:ascii="Calibri" w:hAnsi="Calibri" w:cs="Times New Roman"/>
                      <w:sz w:val="16"/>
                      <w:szCs w:val="16"/>
                      <w:lang w:eastAsia="en-GB"/>
                    </w:rPr>
                    <w:t>Basic components as were given in the guidance document</w:t>
                  </w:r>
                </w:p>
              </w:tc>
              <w:tc>
                <w:tcPr>
                  <w:tcW w:w="306" w:type="pct"/>
                </w:tcPr>
                <w:p w14:paraId="6DC7C77B" w14:textId="77777777" w:rsidR="00FC5D20" w:rsidRPr="00F709CE" w:rsidRDefault="00FC5D20" w:rsidP="00FC5D20">
                  <w:pPr>
                    <w:rPr>
                      <w:rFonts w:ascii="Calibri" w:hAnsi="Calibri" w:cs="Times New Roman"/>
                      <w:sz w:val="16"/>
                      <w:szCs w:val="16"/>
                      <w:lang w:eastAsia="en-GB"/>
                    </w:rPr>
                  </w:pPr>
                  <w:proofErr w:type="spellStart"/>
                  <w:r w:rsidRPr="00F709CE">
                    <w:rPr>
                      <w:rFonts w:ascii="Calibri" w:hAnsi="Calibri" w:cs="Times New Roman"/>
                      <w:sz w:val="16"/>
                      <w:szCs w:val="16"/>
                      <w:lang w:eastAsia="en-GB"/>
                    </w:rPr>
                    <w:t>SubTotal</w:t>
                  </w:r>
                  <w:proofErr w:type="spellEnd"/>
                </w:p>
              </w:tc>
              <w:tc>
                <w:tcPr>
                  <w:tcW w:w="357" w:type="pct"/>
                  <w:vAlign w:val="bottom"/>
                </w:tcPr>
                <w:p w14:paraId="243C9E8A"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1,045,557 </w:t>
                  </w:r>
                </w:p>
              </w:tc>
              <w:tc>
                <w:tcPr>
                  <w:tcW w:w="357" w:type="pct"/>
                  <w:vAlign w:val="bottom"/>
                </w:tcPr>
                <w:p w14:paraId="449ADA7E"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1,097,835 </w:t>
                  </w:r>
                </w:p>
              </w:tc>
              <w:tc>
                <w:tcPr>
                  <w:tcW w:w="357" w:type="pct"/>
                  <w:vAlign w:val="bottom"/>
                </w:tcPr>
                <w:p w14:paraId="03BCDCC2"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1,238,977 </w:t>
                  </w:r>
                </w:p>
              </w:tc>
              <w:tc>
                <w:tcPr>
                  <w:tcW w:w="358" w:type="pct"/>
                  <w:vAlign w:val="bottom"/>
                </w:tcPr>
                <w:p w14:paraId="7F6DAECD"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1,210,363 </w:t>
                  </w:r>
                </w:p>
              </w:tc>
              <w:tc>
                <w:tcPr>
                  <w:tcW w:w="357" w:type="pct"/>
                  <w:vAlign w:val="bottom"/>
                </w:tcPr>
                <w:p w14:paraId="2DD7F4BF"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1,270,881 </w:t>
                  </w:r>
                </w:p>
              </w:tc>
              <w:tc>
                <w:tcPr>
                  <w:tcW w:w="357" w:type="pct"/>
                  <w:vAlign w:val="bottom"/>
                </w:tcPr>
                <w:p w14:paraId="50D50A0B"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1,420,675 </w:t>
                  </w:r>
                </w:p>
              </w:tc>
              <w:tc>
                <w:tcPr>
                  <w:tcW w:w="408" w:type="pct"/>
                  <w:vAlign w:val="bottom"/>
                </w:tcPr>
                <w:p w14:paraId="17EF2CDA"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7,284,288 </w:t>
                  </w:r>
                </w:p>
              </w:tc>
            </w:tr>
            <w:tr w:rsidR="00FC5D20" w:rsidRPr="00F709CE" w14:paraId="269DF7DE" w14:textId="77777777" w:rsidTr="00FC5D20">
              <w:tc>
                <w:tcPr>
                  <w:tcW w:w="2142" w:type="pct"/>
                </w:tcPr>
                <w:p w14:paraId="6BA9E9D3"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 xml:space="preserve">A.1 Management fee charged by the lead centre to handle CRP Finance and Administrative matters (Finance, accounting, reporting, contracts management, legal, HR, IT, communication-if handled by lead centre) </w:t>
                  </w:r>
                </w:p>
              </w:tc>
              <w:tc>
                <w:tcPr>
                  <w:tcW w:w="306" w:type="pct"/>
                </w:tcPr>
                <w:p w14:paraId="707C2295"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6547B3B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0AC6BB5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050CD69D"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8" w:type="pct"/>
                  <w:vAlign w:val="bottom"/>
                </w:tcPr>
                <w:p w14:paraId="589203C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74A6B7D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3AE86E5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408" w:type="pct"/>
                  <w:vAlign w:val="bottom"/>
                </w:tcPr>
                <w:p w14:paraId="01DD6CA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r>
            <w:tr w:rsidR="00FC5D20" w:rsidRPr="00F709CE" w14:paraId="2EB8070B" w14:textId="77777777" w:rsidTr="00FC5D20">
              <w:tc>
                <w:tcPr>
                  <w:tcW w:w="2142" w:type="pct"/>
                </w:tcPr>
                <w:p w14:paraId="153AD825"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lastRenderedPageBreak/>
                    <w:t>A.2 Combines three of the basic components to protect confidentiality of staff salaries – the sum total of these three component should be reported as a single amount:</w:t>
                  </w:r>
                </w:p>
                <w:p w14:paraId="0D82BB6B" w14:textId="77777777" w:rsidR="00FC5D20" w:rsidRPr="00F709CE" w:rsidRDefault="00FC5D20" w:rsidP="00FC5D20">
                  <w:pPr>
                    <w:numPr>
                      <w:ilvl w:val="0"/>
                      <w:numId w:val="46"/>
                    </w:numPr>
                    <w:autoSpaceDE w:val="0"/>
                    <w:autoSpaceDN w:val="0"/>
                    <w:spacing w:after="49"/>
                    <w:rPr>
                      <w:rFonts w:ascii="Calibri" w:hAnsi="Calibri" w:cs="Times New Roman"/>
                      <w:sz w:val="16"/>
                      <w:szCs w:val="16"/>
                    </w:rPr>
                  </w:pPr>
                  <w:r w:rsidRPr="00F709CE">
                    <w:rPr>
                      <w:rFonts w:ascii="Calibri" w:hAnsi="Calibri" w:cs="Times New Roman"/>
                      <w:sz w:val="16"/>
                      <w:szCs w:val="16"/>
                    </w:rPr>
                    <w:t xml:space="preserve">CRP director including related cost – benefits and on-cost if customary (computer, vehicle lease and office space) based on percentage time allocation </w:t>
                  </w:r>
                </w:p>
                <w:p w14:paraId="6B5C9F48" w14:textId="77777777" w:rsidR="00FC5D20" w:rsidRPr="00F709CE" w:rsidRDefault="00FC5D20" w:rsidP="00FC5D20">
                  <w:pPr>
                    <w:numPr>
                      <w:ilvl w:val="0"/>
                      <w:numId w:val="46"/>
                    </w:numPr>
                    <w:autoSpaceDE w:val="0"/>
                    <w:autoSpaceDN w:val="0"/>
                    <w:spacing w:after="49"/>
                    <w:rPr>
                      <w:rFonts w:ascii="Calibri" w:hAnsi="Calibri" w:cs="Times New Roman"/>
                      <w:sz w:val="16"/>
                      <w:szCs w:val="16"/>
                    </w:rPr>
                  </w:pPr>
                  <w:r w:rsidRPr="00F709CE">
                    <w:rPr>
                      <w:rFonts w:ascii="Calibri" w:hAnsi="Calibri" w:cs="Times New Roman"/>
                      <w:sz w:val="16"/>
                      <w:szCs w:val="16"/>
                    </w:rPr>
                    <w:t xml:space="preserve">Infrastructure and general and administrative charges if CRP leader is not located at the </w:t>
                  </w:r>
                  <w:r>
                    <w:rPr>
                      <w:rFonts w:ascii="Calibri" w:hAnsi="Calibri" w:cs="Times New Roman"/>
                      <w:sz w:val="16"/>
                      <w:szCs w:val="16"/>
                    </w:rPr>
                    <w:t>lead cent</w:t>
                  </w:r>
                  <w:r w:rsidRPr="00F709CE">
                    <w:rPr>
                      <w:rFonts w:ascii="Calibri" w:hAnsi="Calibri" w:cs="Times New Roman"/>
                      <w:sz w:val="16"/>
                      <w:szCs w:val="16"/>
                    </w:rPr>
                    <w:t>r</w:t>
                  </w:r>
                  <w:r>
                    <w:rPr>
                      <w:rFonts w:ascii="Calibri" w:hAnsi="Calibri" w:cs="Times New Roman"/>
                      <w:sz w:val="16"/>
                      <w:szCs w:val="16"/>
                    </w:rPr>
                    <w:t>e</w:t>
                  </w:r>
                  <w:r w:rsidRPr="00F709CE">
                    <w:rPr>
                      <w:rFonts w:ascii="Calibri" w:hAnsi="Calibri" w:cs="Times New Roman"/>
                      <w:sz w:val="16"/>
                      <w:szCs w:val="16"/>
                    </w:rPr>
                    <w:t xml:space="preserve"> </w:t>
                  </w:r>
                </w:p>
                <w:p w14:paraId="5B577BD3" w14:textId="77777777" w:rsidR="00FC5D20" w:rsidRPr="00F709CE" w:rsidRDefault="00FC5D20" w:rsidP="00FC5D20">
                  <w:pPr>
                    <w:numPr>
                      <w:ilvl w:val="0"/>
                      <w:numId w:val="46"/>
                    </w:numPr>
                    <w:autoSpaceDE w:val="0"/>
                    <w:autoSpaceDN w:val="0"/>
                    <w:spacing w:after="49"/>
                    <w:rPr>
                      <w:rFonts w:ascii="Calibri" w:hAnsi="Calibri" w:cs="Times New Roman"/>
                      <w:sz w:val="16"/>
                      <w:szCs w:val="16"/>
                    </w:rPr>
                  </w:pPr>
                  <w:r w:rsidRPr="00F709CE">
                    <w:rPr>
                      <w:rFonts w:ascii="Calibri" w:hAnsi="Calibri" w:cs="Times New Roman"/>
                      <w:sz w:val="16"/>
                      <w:szCs w:val="16"/>
                    </w:rPr>
                    <w:t>Financial and administrative support based on time allocation</w:t>
                  </w:r>
                </w:p>
                <w:p w14:paraId="4636326E" w14:textId="77777777" w:rsidR="00FC5D20" w:rsidRPr="00F709CE" w:rsidRDefault="00FC5D20" w:rsidP="00FC5D20">
                  <w:pPr>
                    <w:autoSpaceDE w:val="0"/>
                    <w:autoSpaceDN w:val="0"/>
                    <w:spacing w:after="49"/>
                    <w:ind w:left="142"/>
                    <w:rPr>
                      <w:rFonts w:ascii="Calibri" w:hAnsi="Calibri" w:cs="Times New Roman"/>
                      <w:i/>
                      <w:sz w:val="16"/>
                      <w:szCs w:val="16"/>
                    </w:rPr>
                  </w:pPr>
                  <w:r w:rsidRPr="00F709CE">
                    <w:rPr>
                      <w:rFonts w:ascii="Calibri" w:hAnsi="Calibri" w:cs="Times New Roman"/>
                      <w:i/>
                      <w:sz w:val="16"/>
                      <w:szCs w:val="16"/>
                    </w:rPr>
                    <w:t>Includes CRP Director, Program Support Coordinator, Administrative Assistant, lead centre Financial Support and PMU office supplies and services</w:t>
                  </w:r>
                </w:p>
              </w:tc>
              <w:tc>
                <w:tcPr>
                  <w:tcW w:w="306" w:type="pct"/>
                </w:tcPr>
                <w:p w14:paraId="28398B91"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42ABF8D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510,577 </w:t>
                  </w:r>
                </w:p>
              </w:tc>
              <w:tc>
                <w:tcPr>
                  <w:tcW w:w="357" w:type="pct"/>
                  <w:vAlign w:val="bottom"/>
                </w:tcPr>
                <w:p w14:paraId="5A762EA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536,106 </w:t>
                  </w:r>
                </w:p>
              </w:tc>
              <w:tc>
                <w:tcPr>
                  <w:tcW w:w="357" w:type="pct"/>
                  <w:vAlign w:val="bottom"/>
                </w:tcPr>
                <w:p w14:paraId="02E9127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562,911 </w:t>
                  </w:r>
                </w:p>
              </w:tc>
              <w:tc>
                <w:tcPr>
                  <w:tcW w:w="358" w:type="pct"/>
                  <w:vAlign w:val="bottom"/>
                </w:tcPr>
                <w:p w14:paraId="427534F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591,057 </w:t>
                  </w:r>
                </w:p>
              </w:tc>
              <w:tc>
                <w:tcPr>
                  <w:tcW w:w="357" w:type="pct"/>
                  <w:vAlign w:val="bottom"/>
                </w:tcPr>
                <w:p w14:paraId="257EDA1B"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620,610 </w:t>
                  </w:r>
                </w:p>
              </w:tc>
              <w:tc>
                <w:tcPr>
                  <w:tcW w:w="357" w:type="pct"/>
                  <w:vAlign w:val="bottom"/>
                </w:tcPr>
                <w:p w14:paraId="0E82028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651,640 </w:t>
                  </w:r>
                </w:p>
              </w:tc>
              <w:tc>
                <w:tcPr>
                  <w:tcW w:w="408" w:type="pct"/>
                  <w:vAlign w:val="bottom"/>
                </w:tcPr>
                <w:p w14:paraId="2CA77173"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3,472,900 </w:t>
                  </w:r>
                </w:p>
              </w:tc>
            </w:tr>
            <w:tr w:rsidR="00FC5D20" w:rsidRPr="00F709CE" w14:paraId="6FDAC96E" w14:textId="77777777" w:rsidTr="00FC5D20">
              <w:tc>
                <w:tcPr>
                  <w:tcW w:w="2142" w:type="pct"/>
                </w:tcPr>
                <w:p w14:paraId="64F308A9"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 xml:space="preserve">A.3 Flagship leader and regional coordinators only if a significant percentage time (&gt;50%) is dedicated to managerial activities. </w:t>
                  </w:r>
                </w:p>
                <w:p w14:paraId="5AA0292A" w14:textId="77777777" w:rsidR="00FC5D20" w:rsidRPr="00F709CE" w:rsidRDefault="00FC5D20" w:rsidP="00FC5D20">
                  <w:pPr>
                    <w:autoSpaceDE w:val="0"/>
                    <w:autoSpaceDN w:val="0"/>
                    <w:spacing w:after="49"/>
                    <w:ind w:left="596" w:hanging="425"/>
                    <w:rPr>
                      <w:rFonts w:ascii="Calibri" w:hAnsi="Calibri" w:cs="Times New Roman"/>
                      <w:i/>
                      <w:sz w:val="16"/>
                      <w:szCs w:val="16"/>
                    </w:rPr>
                  </w:pPr>
                  <w:r w:rsidRPr="00F709CE">
                    <w:rPr>
                      <w:rFonts w:ascii="Calibri" w:hAnsi="Calibri" w:cs="Times New Roman"/>
                      <w:i/>
                      <w:sz w:val="16"/>
                      <w:szCs w:val="16"/>
                    </w:rPr>
                    <w:t>N/A</w:t>
                  </w:r>
                </w:p>
              </w:tc>
              <w:tc>
                <w:tcPr>
                  <w:tcW w:w="306" w:type="pct"/>
                </w:tcPr>
                <w:p w14:paraId="4D580E11"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46208BE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69A3DBB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4E3090D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8" w:type="pct"/>
                  <w:vAlign w:val="bottom"/>
                </w:tcPr>
                <w:p w14:paraId="383132A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5271843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67E91CD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408" w:type="pct"/>
                  <w:vAlign w:val="bottom"/>
                </w:tcPr>
                <w:p w14:paraId="7505856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r>
            <w:tr w:rsidR="00FC5D20" w:rsidRPr="00F709CE" w14:paraId="6EA1AA23" w14:textId="77777777" w:rsidTr="00FC5D20">
              <w:tc>
                <w:tcPr>
                  <w:tcW w:w="2142" w:type="pct"/>
                </w:tcPr>
                <w:p w14:paraId="376E7015"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 xml:space="preserve">A.4 CRP Management Committee and related costs </w:t>
                  </w:r>
                </w:p>
                <w:p w14:paraId="22CE977E" w14:textId="77777777" w:rsidR="00FC5D20" w:rsidRPr="00F709CE" w:rsidRDefault="00FC5D20" w:rsidP="00FC5D20">
                  <w:pPr>
                    <w:autoSpaceDE w:val="0"/>
                    <w:autoSpaceDN w:val="0"/>
                    <w:spacing w:after="49"/>
                    <w:ind w:left="596" w:hanging="425"/>
                    <w:rPr>
                      <w:rFonts w:ascii="Calibri" w:hAnsi="Calibri" w:cs="Times New Roman"/>
                      <w:i/>
                      <w:sz w:val="16"/>
                      <w:szCs w:val="16"/>
                    </w:rPr>
                  </w:pPr>
                  <w:r w:rsidRPr="00F709CE">
                    <w:rPr>
                      <w:rFonts w:ascii="Calibri" w:hAnsi="Calibri" w:cs="Times New Roman"/>
                      <w:i/>
                      <w:sz w:val="16"/>
                      <w:szCs w:val="16"/>
                    </w:rPr>
                    <w:t>Travel and meeting costs</w:t>
                  </w:r>
                </w:p>
              </w:tc>
              <w:tc>
                <w:tcPr>
                  <w:tcW w:w="306" w:type="pct"/>
                </w:tcPr>
                <w:p w14:paraId="6A9689A6"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2C2B8D1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51,980 </w:t>
                  </w:r>
                </w:p>
              </w:tc>
              <w:tc>
                <w:tcPr>
                  <w:tcW w:w="357" w:type="pct"/>
                  <w:vAlign w:val="bottom"/>
                </w:tcPr>
                <w:p w14:paraId="1DD0281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54,579 </w:t>
                  </w:r>
                </w:p>
              </w:tc>
              <w:tc>
                <w:tcPr>
                  <w:tcW w:w="357" w:type="pct"/>
                  <w:vAlign w:val="bottom"/>
                </w:tcPr>
                <w:p w14:paraId="559DA19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57,308 </w:t>
                  </w:r>
                </w:p>
              </w:tc>
              <w:tc>
                <w:tcPr>
                  <w:tcW w:w="358" w:type="pct"/>
                  <w:vAlign w:val="bottom"/>
                </w:tcPr>
                <w:p w14:paraId="1B4CE50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60,173 </w:t>
                  </w:r>
                </w:p>
              </w:tc>
              <w:tc>
                <w:tcPr>
                  <w:tcW w:w="357" w:type="pct"/>
                  <w:vAlign w:val="bottom"/>
                </w:tcPr>
                <w:p w14:paraId="6FFB798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63,182 </w:t>
                  </w:r>
                </w:p>
              </w:tc>
              <w:tc>
                <w:tcPr>
                  <w:tcW w:w="357" w:type="pct"/>
                  <w:vAlign w:val="bottom"/>
                </w:tcPr>
                <w:p w14:paraId="1D7272D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66,341 </w:t>
                  </w:r>
                </w:p>
              </w:tc>
              <w:tc>
                <w:tcPr>
                  <w:tcW w:w="408" w:type="pct"/>
                  <w:vAlign w:val="bottom"/>
                </w:tcPr>
                <w:p w14:paraId="4AAD1F9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353,563 </w:t>
                  </w:r>
                </w:p>
              </w:tc>
            </w:tr>
            <w:tr w:rsidR="00FC5D20" w:rsidRPr="00F709CE" w14:paraId="28E4C852" w14:textId="77777777" w:rsidTr="00FC5D20">
              <w:tc>
                <w:tcPr>
                  <w:tcW w:w="2142" w:type="pct"/>
                </w:tcPr>
                <w:p w14:paraId="4B08E917"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 xml:space="preserve">A.5 Independent Steering Committee (or Science Committee) and related costs </w:t>
                  </w:r>
                </w:p>
                <w:p w14:paraId="2FE2F23F" w14:textId="77777777" w:rsidR="00FC5D20" w:rsidRPr="00F709CE" w:rsidRDefault="00FC5D20" w:rsidP="00FC5D20">
                  <w:pPr>
                    <w:autoSpaceDE w:val="0"/>
                    <w:autoSpaceDN w:val="0"/>
                    <w:spacing w:after="49"/>
                    <w:ind w:left="142" w:firstLine="29"/>
                    <w:rPr>
                      <w:rFonts w:ascii="Calibri" w:hAnsi="Calibri" w:cs="Times New Roman"/>
                      <w:i/>
                      <w:sz w:val="16"/>
                      <w:szCs w:val="16"/>
                    </w:rPr>
                  </w:pPr>
                  <w:r w:rsidRPr="00F709CE">
                    <w:rPr>
                      <w:rFonts w:ascii="Calibri" w:hAnsi="Calibri" w:cs="Times New Roman"/>
                      <w:i/>
                      <w:sz w:val="16"/>
                      <w:szCs w:val="16"/>
                    </w:rPr>
                    <w:t>Travel, meetings and honoraria</w:t>
                  </w:r>
                </w:p>
              </w:tc>
              <w:tc>
                <w:tcPr>
                  <w:tcW w:w="306" w:type="pct"/>
                </w:tcPr>
                <w:p w14:paraId="30741B07"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713DA19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301,875 </w:t>
                  </w:r>
                </w:p>
              </w:tc>
              <w:tc>
                <w:tcPr>
                  <w:tcW w:w="357" w:type="pct"/>
                  <w:vAlign w:val="bottom"/>
                </w:tcPr>
                <w:p w14:paraId="646D646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316,969 </w:t>
                  </w:r>
                </w:p>
              </w:tc>
              <w:tc>
                <w:tcPr>
                  <w:tcW w:w="357" w:type="pct"/>
                  <w:vAlign w:val="bottom"/>
                </w:tcPr>
                <w:p w14:paraId="53B21DD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332,817 </w:t>
                  </w:r>
                </w:p>
              </w:tc>
              <w:tc>
                <w:tcPr>
                  <w:tcW w:w="358" w:type="pct"/>
                  <w:vAlign w:val="bottom"/>
                </w:tcPr>
                <w:p w14:paraId="732F60B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349,458 </w:t>
                  </w:r>
                </w:p>
              </w:tc>
              <w:tc>
                <w:tcPr>
                  <w:tcW w:w="357" w:type="pct"/>
                  <w:vAlign w:val="bottom"/>
                </w:tcPr>
                <w:p w14:paraId="7B9E8C12"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366,931 </w:t>
                  </w:r>
                </w:p>
              </w:tc>
              <w:tc>
                <w:tcPr>
                  <w:tcW w:w="357" w:type="pct"/>
                  <w:vAlign w:val="bottom"/>
                </w:tcPr>
                <w:p w14:paraId="0C7079E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385,277 </w:t>
                  </w:r>
                </w:p>
              </w:tc>
              <w:tc>
                <w:tcPr>
                  <w:tcW w:w="408" w:type="pct"/>
                  <w:vAlign w:val="bottom"/>
                </w:tcPr>
                <w:p w14:paraId="5201C4B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2,053,327 </w:t>
                  </w:r>
                </w:p>
              </w:tc>
            </w:tr>
            <w:tr w:rsidR="00FC5D20" w:rsidRPr="00F709CE" w14:paraId="20A92E14" w14:textId="77777777" w:rsidTr="00FC5D20">
              <w:tc>
                <w:tcPr>
                  <w:tcW w:w="2142" w:type="pct"/>
                </w:tcPr>
                <w:p w14:paraId="6BE5C6D5"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A.6 Communication activity related specifically to CRP communication and webpage (not if</w:t>
                  </w:r>
                  <w:r>
                    <w:rPr>
                      <w:rFonts w:ascii="Calibri" w:hAnsi="Calibri" w:cs="Times New Roman"/>
                      <w:sz w:val="16"/>
                      <w:szCs w:val="16"/>
                    </w:rPr>
                    <w:t xml:space="preserve"> handled by lead c</w:t>
                  </w:r>
                  <w:r w:rsidRPr="00F709CE">
                    <w:rPr>
                      <w:rFonts w:ascii="Calibri" w:hAnsi="Calibri" w:cs="Times New Roman"/>
                      <w:sz w:val="16"/>
                      <w:szCs w:val="16"/>
                    </w:rPr>
                    <w:t>ent</w:t>
                  </w:r>
                  <w:r>
                    <w:rPr>
                      <w:rFonts w:ascii="Calibri" w:hAnsi="Calibri" w:cs="Times New Roman"/>
                      <w:sz w:val="16"/>
                      <w:szCs w:val="16"/>
                    </w:rPr>
                    <w:t>re</w:t>
                  </w:r>
                  <w:r w:rsidRPr="00F709CE">
                    <w:rPr>
                      <w:rFonts w:ascii="Calibri" w:hAnsi="Calibri" w:cs="Times New Roman"/>
                      <w:sz w:val="16"/>
                      <w:szCs w:val="16"/>
                    </w:rPr>
                    <w:t xml:space="preserve">) </w:t>
                  </w:r>
                </w:p>
                <w:p w14:paraId="6909B96F" w14:textId="77777777" w:rsidR="00FC5D20" w:rsidRPr="00F709CE" w:rsidRDefault="00FC5D20" w:rsidP="00FC5D20">
                  <w:pPr>
                    <w:autoSpaceDE w:val="0"/>
                    <w:autoSpaceDN w:val="0"/>
                    <w:spacing w:after="49"/>
                    <w:ind w:left="596" w:hanging="425"/>
                    <w:rPr>
                      <w:rFonts w:ascii="Calibri" w:hAnsi="Calibri" w:cs="Times New Roman"/>
                      <w:i/>
                      <w:sz w:val="16"/>
                      <w:szCs w:val="16"/>
                    </w:rPr>
                  </w:pPr>
                  <w:r w:rsidRPr="00F709CE">
                    <w:rPr>
                      <w:rFonts w:ascii="Calibri" w:hAnsi="Calibri" w:cs="Times New Roman"/>
                      <w:i/>
                      <w:sz w:val="16"/>
                      <w:szCs w:val="16"/>
                    </w:rPr>
                    <w:t xml:space="preserve">N/A </w:t>
                  </w:r>
                </w:p>
              </w:tc>
              <w:tc>
                <w:tcPr>
                  <w:tcW w:w="306" w:type="pct"/>
                </w:tcPr>
                <w:p w14:paraId="351BD26F"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0764B083"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vAlign w:val="bottom"/>
                </w:tcPr>
                <w:p w14:paraId="3CD4504E"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vAlign w:val="bottom"/>
                </w:tcPr>
                <w:p w14:paraId="38199B73"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8" w:type="pct"/>
                  <w:vAlign w:val="bottom"/>
                </w:tcPr>
                <w:p w14:paraId="496D5FD2"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vAlign w:val="bottom"/>
                </w:tcPr>
                <w:p w14:paraId="0401DB5A"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vAlign w:val="bottom"/>
                </w:tcPr>
                <w:p w14:paraId="5648B9ED"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408" w:type="pct"/>
                  <w:vAlign w:val="bottom"/>
                </w:tcPr>
                <w:p w14:paraId="3F1195B6"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r>
            <w:tr w:rsidR="00FC5D20" w:rsidRPr="00F709CE" w14:paraId="5AF74B54" w14:textId="77777777" w:rsidTr="00FC5D20">
              <w:tc>
                <w:tcPr>
                  <w:tcW w:w="2142" w:type="pct"/>
                </w:tcPr>
                <w:p w14:paraId="15596945" w14:textId="77777777" w:rsidR="00FC5D20" w:rsidRPr="00F709CE" w:rsidRDefault="00FC5D20" w:rsidP="00FC5D20">
                  <w:pPr>
                    <w:autoSpaceDE w:val="0"/>
                    <w:autoSpaceDN w:val="0"/>
                    <w:spacing w:after="49"/>
                    <w:ind w:left="596" w:hanging="425"/>
                    <w:rPr>
                      <w:rFonts w:ascii="Calibri" w:hAnsi="Calibri" w:cs="Times New Roman"/>
                      <w:sz w:val="16"/>
                      <w:szCs w:val="16"/>
                    </w:rPr>
                  </w:pPr>
                  <w:r w:rsidRPr="00F709CE">
                    <w:rPr>
                      <w:rFonts w:ascii="Calibri" w:hAnsi="Calibri" w:cs="Times New Roman"/>
                      <w:sz w:val="16"/>
                      <w:szCs w:val="16"/>
                    </w:rPr>
                    <w:t xml:space="preserve">A.7 CRP internal audit by the CGIAR Internal Audit Unit, or its future equivalent in the new System governance structure </w:t>
                  </w:r>
                </w:p>
              </w:tc>
              <w:tc>
                <w:tcPr>
                  <w:tcW w:w="306" w:type="pct"/>
                </w:tcPr>
                <w:p w14:paraId="222831CB"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7B0AF54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6E70E8B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w:t>
                  </w:r>
                  <w:r>
                    <w:rPr>
                      <w:rFonts w:ascii="Calibri" w:eastAsia="Times New Roman" w:hAnsi="Calibri" w:cs="Times New Roman"/>
                      <w:sz w:val="16"/>
                      <w:szCs w:val="16"/>
                      <w:lang w:eastAsia="en-GB"/>
                    </w:rPr>
                    <w:t xml:space="preserve"> </w:t>
                  </w:r>
                </w:p>
              </w:tc>
              <w:tc>
                <w:tcPr>
                  <w:tcW w:w="357" w:type="pct"/>
                  <w:vAlign w:val="bottom"/>
                </w:tcPr>
                <w:p w14:paraId="7C9D2778"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86,250 </w:t>
                  </w:r>
                </w:p>
              </w:tc>
              <w:tc>
                <w:tcPr>
                  <w:tcW w:w="358" w:type="pct"/>
                  <w:vAlign w:val="bottom"/>
                </w:tcPr>
                <w:p w14:paraId="34002932" w14:textId="77777777" w:rsidR="00FC5D20" w:rsidRPr="00F709CE" w:rsidRDefault="00FC5D20" w:rsidP="00FC5D20">
                  <w:pPr>
                    <w:jc w:val="right"/>
                    <w:rPr>
                      <w:rFonts w:ascii="Calibri" w:hAnsi="Calibri" w:cs="Times New Roman"/>
                      <w:sz w:val="16"/>
                      <w:szCs w:val="16"/>
                      <w:lang w:eastAsia="en-GB"/>
                    </w:rPr>
                  </w:pPr>
                </w:p>
              </w:tc>
              <w:tc>
                <w:tcPr>
                  <w:tcW w:w="357" w:type="pct"/>
                  <w:vAlign w:val="bottom"/>
                </w:tcPr>
                <w:p w14:paraId="05392DB9" w14:textId="77777777" w:rsidR="00FC5D20" w:rsidRPr="00F709CE" w:rsidRDefault="00FC5D20" w:rsidP="00FC5D20">
                  <w:pPr>
                    <w:jc w:val="right"/>
                    <w:rPr>
                      <w:rFonts w:ascii="Calibri" w:hAnsi="Calibri" w:cs="Times New Roman"/>
                      <w:sz w:val="16"/>
                      <w:szCs w:val="16"/>
                      <w:lang w:eastAsia="en-GB"/>
                    </w:rPr>
                  </w:pPr>
                </w:p>
              </w:tc>
              <w:tc>
                <w:tcPr>
                  <w:tcW w:w="357" w:type="pct"/>
                  <w:vAlign w:val="bottom"/>
                </w:tcPr>
                <w:p w14:paraId="7D9BBB6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86,250 </w:t>
                  </w:r>
                </w:p>
              </w:tc>
              <w:tc>
                <w:tcPr>
                  <w:tcW w:w="408" w:type="pct"/>
                  <w:vAlign w:val="bottom"/>
                </w:tcPr>
                <w:p w14:paraId="5A71CDF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172,500 </w:t>
                  </w:r>
                </w:p>
              </w:tc>
            </w:tr>
            <w:tr w:rsidR="00FC5D20" w:rsidRPr="00F709CE" w14:paraId="3FDC3BCC" w14:textId="77777777" w:rsidTr="00FC5D20">
              <w:tc>
                <w:tcPr>
                  <w:tcW w:w="2142" w:type="pct"/>
                </w:tcPr>
                <w:p w14:paraId="5C11C41C" w14:textId="77777777" w:rsidR="00FC5D20" w:rsidRPr="00F709CE" w:rsidRDefault="00FC5D20" w:rsidP="00FC5D20">
                  <w:pPr>
                    <w:autoSpaceDE w:val="0"/>
                    <w:autoSpaceDN w:val="0"/>
                    <w:ind w:left="596" w:hanging="425"/>
                    <w:rPr>
                      <w:rFonts w:ascii="Calibri" w:hAnsi="Calibri" w:cs="Times New Roman"/>
                      <w:sz w:val="16"/>
                      <w:szCs w:val="16"/>
                    </w:rPr>
                  </w:pPr>
                  <w:r w:rsidRPr="00F709CE">
                    <w:rPr>
                      <w:rFonts w:ascii="Calibri" w:hAnsi="Calibri" w:cs="Times New Roman"/>
                      <w:sz w:val="16"/>
                      <w:szCs w:val="16"/>
                    </w:rPr>
                    <w:t xml:space="preserve">A.8 CRP internal and external reviews (e.g. CCEEs and other evaluations and reviews), as well as impact assessments </w:t>
                  </w:r>
                </w:p>
              </w:tc>
              <w:tc>
                <w:tcPr>
                  <w:tcW w:w="306" w:type="pct"/>
                </w:tcPr>
                <w:p w14:paraId="309D43E9"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1C42FE0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181,125 </w:t>
                  </w:r>
                </w:p>
              </w:tc>
              <w:tc>
                <w:tcPr>
                  <w:tcW w:w="357" w:type="pct"/>
                  <w:vAlign w:val="bottom"/>
                </w:tcPr>
                <w:p w14:paraId="5118888B"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190,181 </w:t>
                  </w:r>
                </w:p>
              </w:tc>
              <w:tc>
                <w:tcPr>
                  <w:tcW w:w="357" w:type="pct"/>
                  <w:vAlign w:val="bottom"/>
                </w:tcPr>
                <w:p w14:paraId="353B1E3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199,690 </w:t>
                  </w:r>
                </w:p>
              </w:tc>
              <w:tc>
                <w:tcPr>
                  <w:tcW w:w="358" w:type="pct"/>
                  <w:vAlign w:val="bottom"/>
                </w:tcPr>
                <w:p w14:paraId="3802855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209,675 </w:t>
                  </w:r>
                </w:p>
              </w:tc>
              <w:tc>
                <w:tcPr>
                  <w:tcW w:w="357" w:type="pct"/>
                  <w:vAlign w:val="bottom"/>
                </w:tcPr>
                <w:p w14:paraId="53C202E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220,159 </w:t>
                  </w:r>
                </w:p>
              </w:tc>
              <w:tc>
                <w:tcPr>
                  <w:tcW w:w="357" w:type="pct"/>
                  <w:vAlign w:val="bottom"/>
                </w:tcPr>
                <w:p w14:paraId="54F6C092"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231,166 </w:t>
                  </w:r>
                </w:p>
              </w:tc>
              <w:tc>
                <w:tcPr>
                  <w:tcW w:w="408" w:type="pct"/>
                  <w:vAlign w:val="bottom"/>
                </w:tcPr>
                <w:p w14:paraId="19467AA8"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1,231,996 </w:t>
                  </w:r>
                </w:p>
              </w:tc>
            </w:tr>
            <w:tr w:rsidR="00FC5D20" w:rsidRPr="00F709CE" w14:paraId="450431D7" w14:textId="77777777" w:rsidTr="00FC5D20">
              <w:tc>
                <w:tcPr>
                  <w:tcW w:w="2142" w:type="pct"/>
                </w:tcPr>
                <w:p w14:paraId="7EEEE6DC" w14:textId="77777777" w:rsidR="00FC5D20" w:rsidRPr="00F709CE" w:rsidRDefault="00FC5D20" w:rsidP="00FC5D20">
                  <w:pPr>
                    <w:numPr>
                      <w:ilvl w:val="0"/>
                      <w:numId w:val="45"/>
                    </w:numPr>
                    <w:ind w:left="313" w:hanging="284"/>
                    <w:rPr>
                      <w:rFonts w:ascii="Calibri" w:hAnsi="Calibri" w:cs="Times New Roman"/>
                      <w:sz w:val="16"/>
                      <w:szCs w:val="16"/>
                      <w:lang w:eastAsia="en-GB"/>
                    </w:rPr>
                  </w:pPr>
                  <w:r w:rsidRPr="00F709CE">
                    <w:rPr>
                      <w:rFonts w:ascii="Calibri" w:hAnsi="Calibri" w:cs="Times New Roman"/>
                      <w:sz w:val="16"/>
                      <w:szCs w:val="16"/>
                      <w:lang w:eastAsia="en-GB"/>
                    </w:rPr>
                    <w:t>CRP-level cross-cutting components not mentioned in the guidance document</w:t>
                  </w:r>
                </w:p>
              </w:tc>
              <w:tc>
                <w:tcPr>
                  <w:tcW w:w="306" w:type="pct"/>
                </w:tcPr>
                <w:p w14:paraId="2E1B7963" w14:textId="77777777" w:rsidR="00FC5D20" w:rsidRPr="00F709CE" w:rsidRDefault="00FC5D20" w:rsidP="00FC5D20">
                  <w:pPr>
                    <w:rPr>
                      <w:rFonts w:ascii="Calibri" w:hAnsi="Calibri" w:cs="Times New Roman"/>
                      <w:sz w:val="16"/>
                      <w:szCs w:val="16"/>
                      <w:lang w:eastAsia="en-GB"/>
                    </w:rPr>
                  </w:pPr>
                  <w:proofErr w:type="spellStart"/>
                  <w:r w:rsidRPr="00F709CE">
                    <w:rPr>
                      <w:rFonts w:ascii="Calibri" w:hAnsi="Calibri" w:cs="Times New Roman"/>
                      <w:sz w:val="16"/>
                      <w:szCs w:val="16"/>
                      <w:lang w:eastAsia="en-GB"/>
                    </w:rPr>
                    <w:t>SubTotal</w:t>
                  </w:r>
                  <w:proofErr w:type="spellEnd"/>
                </w:p>
              </w:tc>
              <w:tc>
                <w:tcPr>
                  <w:tcW w:w="357" w:type="pct"/>
                  <w:vAlign w:val="bottom"/>
                </w:tcPr>
                <w:p w14:paraId="6F0CA15B"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1,363,063 </w:t>
                  </w:r>
                </w:p>
              </w:tc>
              <w:tc>
                <w:tcPr>
                  <w:tcW w:w="357" w:type="pct"/>
                  <w:vAlign w:val="bottom"/>
                </w:tcPr>
                <w:p w14:paraId="52970A75"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1,431,216 </w:t>
                  </w:r>
                </w:p>
              </w:tc>
              <w:tc>
                <w:tcPr>
                  <w:tcW w:w="357" w:type="pct"/>
                  <w:vAlign w:val="bottom"/>
                </w:tcPr>
                <w:p w14:paraId="077901A6"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1,502,778 </w:t>
                  </w:r>
                </w:p>
              </w:tc>
              <w:tc>
                <w:tcPr>
                  <w:tcW w:w="358" w:type="pct"/>
                  <w:vAlign w:val="bottom"/>
                </w:tcPr>
                <w:p w14:paraId="4840FA4C"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1,577,916 </w:t>
                  </w:r>
                </w:p>
              </w:tc>
              <w:tc>
                <w:tcPr>
                  <w:tcW w:w="357" w:type="pct"/>
                  <w:vAlign w:val="bottom"/>
                </w:tcPr>
                <w:p w14:paraId="7FCF09E6"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1,656,811 </w:t>
                  </w:r>
                </w:p>
              </w:tc>
              <w:tc>
                <w:tcPr>
                  <w:tcW w:w="357" w:type="pct"/>
                  <w:vAlign w:val="bottom"/>
                </w:tcPr>
                <w:p w14:paraId="44BBCA05"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1,739,652 </w:t>
                  </w:r>
                </w:p>
              </w:tc>
              <w:tc>
                <w:tcPr>
                  <w:tcW w:w="408" w:type="pct"/>
                  <w:vAlign w:val="bottom"/>
                </w:tcPr>
                <w:p w14:paraId="7341F941" w14:textId="77777777" w:rsidR="00FC5D20" w:rsidRPr="00F709CE" w:rsidRDefault="00FC5D20" w:rsidP="00FC5D20">
                  <w:pPr>
                    <w:jc w:val="right"/>
                    <w:rPr>
                      <w:rFonts w:ascii="Calibri" w:hAnsi="Calibri" w:cs="Times New Roman"/>
                      <w:b/>
                      <w:sz w:val="16"/>
                      <w:szCs w:val="16"/>
                      <w:lang w:eastAsia="en-GB"/>
                    </w:rPr>
                  </w:pPr>
                  <w:r w:rsidRPr="00F709CE">
                    <w:rPr>
                      <w:rFonts w:ascii="Calibri" w:eastAsia="Times New Roman" w:hAnsi="Calibri" w:cs="Times New Roman"/>
                      <w:b/>
                      <w:sz w:val="16"/>
                      <w:szCs w:val="16"/>
                      <w:lang w:eastAsia="en-GB"/>
                    </w:rPr>
                    <w:t xml:space="preserve"> 9,271,436 </w:t>
                  </w:r>
                </w:p>
              </w:tc>
            </w:tr>
            <w:tr w:rsidR="00FC5D20" w:rsidRPr="00F709CE" w14:paraId="3826EF72" w14:textId="77777777" w:rsidTr="00FC5D20">
              <w:tc>
                <w:tcPr>
                  <w:tcW w:w="2142" w:type="pct"/>
                </w:tcPr>
                <w:p w14:paraId="4CF8EF6E"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B.1 CRP special events (e.g. CRP-wide program meetings) </w:t>
                  </w:r>
                </w:p>
                <w:p w14:paraId="05061F23" w14:textId="77777777" w:rsidR="00FC5D20" w:rsidRPr="00F709CE" w:rsidRDefault="00FC5D20" w:rsidP="00FC5D20">
                  <w:pPr>
                    <w:ind w:left="596" w:hanging="425"/>
                    <w:rPr>
                      <w:rFonts w:ascii="Calibri" w:hAnsi="Calibri" w:cs="Times New Roman"/>
                      <w:i/>
                      <w:sz w:val="16"/>
                      <w:szCs w:val="16"/>
                      <w:lang w:eastAsia="en-GB"/>
                    </w:rPr>
                  </w:pPr>
                  <w:r w:rsidRPr="00F709CE">
                    <w:rPr>
                      <w:rFonts w:ascii="Calibri" w:hAnsi="Calibri" w:cs="Times New Roman"/>
                      <w:i/>
                      <w:sz w:val="16"/>
                      <w:szCs w:val="16"/>
                      <w:lang w:eastAsia="en-GB"/>
                    </w:rPr>
                    <w:t>Annual CRP Program meetings</w:t>
                  </w:r>
                </w:p>
              </w:tc>
              <w:tc>
                <w:tcPr>
                  <w:tcW w:w="306" w:type="pct"/>
                </w:tcPr>
                <w:p w14:paraId="56E542D4"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344192F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115,000 </w:t>
                  </w:r>
                </w:p>
              </w:tc>
              <w:tc>
                <w:tcPr>
                  <w:tcW w:w="357" w:type="pct"/>
                  <w:vAlign w:val="bottom"/>
                </w:tcPr>
                <w:p w14:paraId="52AEC572"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120,750 </w:t>
                  </w:r>
                </w:p>
              </w:tc>
              <w:tc>
                <w:tcPr>
                  <w:tcW w:w="357" w:type="pct"/>
                  <w:vAlign w:val="bottom"/>
                </w:tcPr>
                <w:p w14:paraId="15D9927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120,750 </w:t>
                  </w:r>
                </w:p>
              </w:tc>
              <w:tc>
                <w:tcPr>
                  <w:tcW w:w="358" w:type="pct"/>
                  <w:vAlign w:val="bottom"/>
                </w:tcPr>
                <w:p w14:paraId="56D48FD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115,000 </w:t>
                  </w:r>
                </w:p>
              </w:tc>
              <w:tc>
                <w:tcPr>
                  <w:tcW w:w="357" w:type="pct"/>
                  <w:vAlign w:val="bottom"/>
                </w:tcPr>
                <w:p w14:paraId="339FC05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139,783 </w:t>
                  </w:r>
                </w:p>
              </w:tc>
              <w:tc>
                <w:tcPr>
                  <w:tcW w:w="357" w:type="pct"/>
                  <w:vAlign w:val="bottom"/>
                </w:tcPr>
                <w:p w14:paraId="12A2A62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146,772 </w:t>
                  </w:r>
                </w:p>
              </w:tc>
              <w:tc>
                <w:tcPr>
                  <w:tcW w:w="408" w:type="pct"/>
                  <w:vAlign w:val="bottom"/>
                </w:tcPr>
                <w:p w14:paraId="04CC996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758,055 </w:t>
                  </w:r>
                </w:p>
              </w:tc>
            </w:tr>
            <w:tr w:rsidR="00FC5D20" w:rsidRPr="00F709CE" w14:paraId="06ACBBCD" w14:textId="77777777" w:rsidTr="00FC5D20">
              <w:tc>
                <w:tcPr>
                  <w:tcW w:w="2142" w:type="pct"/>
                </w:tcPr>
                <w:p w14:paraId="48BCC420"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B.2 CRP leadership meetings (e.g. country coordinators, flagship leaders, cross-cutting coordinators) </w:t>
                  </w:r>
                </w:p>
                <w:p w14:paraId="0CBCE60E" w14:textId="77777777" w:rsidR="00FC5D20" w:rsidRPr="00F709CE" w:rsidRDefault="00FC5D20" w:rsidP="00FC5D20">
                  <w:pPr>
                    <w:ind w:left="142"/>
                    <w:rPr>
                      <w:rFonts w:ascii="Calibri" w:hAnsi="Calibri" w:cs="Times New Roman"/>
                      <w:i/>
                      <w:sz w:val="16"/>
                      <w:szCs w:val="16"/>
                      <w:lang w:eastAsia="en-GB"/>
                    </w:rPr>
                  </w:pPr>
                  <w:r w:rsidRPr="00F709CE">
                    <w:rPr>
                      <w:rFonts w:ascii="Calibri" w:hAnsi="Calibri" w:cs="Times New Roman"/>
                      <w:i/>
                      <w:sz w:val="16"/>
                      <w:szCs w:val="16"/>
                      <w:lang w:eastAsia="en-GB"/>
                    </w:rPr>
                    <w:t>Flagship and country coordinator travel and meeting costs</w:t>
                  </w:r>
                </w:p>
              </w:tc>
              <w:tc>
                <w:tcPr>
                  <w:tcW w:w="306" w:type="pct"/>
                </w:tcPr>
                <w:p w14:paraId="45D2662D"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33A6A3F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58,650 </w:t>
                  </w:r>
                </w:p>
              </w:tc>
              <w:tc>
                <w:tcPr>
                  <w:tcW w:w="357" w:type="pct"/>
                  <w:vAlign w:val="bottom"/>
                </w:tcPr>
                <w:p w14:paraId="1AEC14F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61,583 </w:t>
                  </w:r>
                </w:p>
              </w:tc>
              <w:tc>
                <w:tcPr>
                  <w:tcW w:w="357" w:type="pct"/>
                  <w:vAlign w:val="bottom"/>
                </w:tcPr>
                <w:p w14:paraId="6DEE0FD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64,662 </w:t>
                  </w:r>
                </w:p>
              </w:tc>
              <w:tc>
                <w:tcPr>
                  <w:tcW w:w="358" w:type="pct"/>
                  <w:vAlign w:val="bottom"/>
                </w:tcPr>
                <w:p w14:paraId="60E2947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79,682 </w:t>
                  </w:r>
                </w:p>
              </w:tc>
              <w:tc>
                <w:tcPr>
                  <w:tcW w:w="357" w:type="pct"/>
                  <w:vAlign w:val="bottom"/>
                </w:tcPr>
                <w:p w14:paraId="6F660EF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83,666 </w:t>
                  </w:r>
                </w:p>
              </w:tc>
              <w:tc>
                <w:tcPr>
                  <w:tcW w:w="357" w:type="pct"/>
                  <w:vAlign w:val="bottom"/>
                </w:tcPr>
                <w:p w14:paraId="3958F7F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87,849 </w:t>
                  </w:r>
                </w:p>
              </w:tc>
              <w:tc>
                <w:tcPr>
                  <w:tcW w:w="408" w:type="pct"/>
                  <w:vAlign w:val="bottom"/>
                </w:tcPr>
                <w:p w14:paraId="252E923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436,092 </w:t>
                  </w:r>
                </w:p>
              </w:tc>
            </w:tr>
            <w:tr w:rsidR="00FC5D20" w:rsidRPr="00F709CE" w14:paraId="215EAFB1" w14:textId="77777777" w:rsidTr="00FC5D20">
              <w:tc>
                <w:tcPr>
                  <w:tcW w:w="2142" w:type="pct"/>
                </w:tcPr>
                <w:p w14:paraId="2BAD5D33"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B.3 CRP M&amp;E coordination and systems (not including external evaluations and impact assessments) </w:t>
                  </w:r>
                </w:p>
                <w:p w14:paraId="34DD2A12" w14:textId="77777777" w:rsidR="00FC5D20" w:rsidRPr="00F709CE" w:rsidRDefault="00FC5D20" w:rsidP="00FC5D20">
                  <w:pPr>
                    <w:ind w:left="142" w:firstLine="29"/>
                    <w:rPr>
                      <w:rFonts w:ascii="Calibri" w:hAnsi="Calibri" w:cs="Times New Roman"/>
                      <w:i/>
                      <w:sz w:val="16"/>
                      <w:szCs w:val="16"/>
                      <w:lang w:eastAsia="en-GB"/>
                    </w:rPr>
                  </w:pPr>
                  <w:r w:rsidRPr="00F709CE">
                    <w:rPr>
                      <w:rFonts w:ascii="Calibri" w:hAnsi="Calibri" w:cs="Times New Roman"/>
                      <w:i/>
                      <w:sz w:val="16"/>
                      <w:szCs w:val="16"/>
                      <w:lang w:eastAsia="en-GB"/>
                    </w:rPr>
                    <w:t>M&amp;E staff salaries (Evaluation and M&amp;E Specialists), MEL online system development and maintenance costs, data collection, quality assurance</w:t>
                  </w:r>
                </w:p>
              </w:tc>
              <w:tc>
                <w:tcPr>
                  <w:tcW w:w="306" w:type="pct"/>
                </w:tcPr>
                <w:p w14:paraId="23A3C564"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5CD8406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306,874 </w:t>
                  </w:r>
                </w:p>
              </w:tc>
              <w:tc>
                <w:tcPr>
                  <w:tcW w:w="357" w:type="pct"/>
                  <w:vAlign w:val="bottom"/>
                </w:tcPr>
                <w:p w14:paraId="6F2C912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322,218 </w:t>
                  </w:r>
                </w:p>
              </w:tc>
              <w:tc>
                <w:tcPr>
                  <w:tcW w:w="357" w:type="pct"/>
                  <w:vAlign w:val="bottom"/>
                </w:tcPr>
                <w:p w14:paraId="1BC9732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338,329 </w:t>
                  </w:r>
                </w:p>
              </w:tc>
              <w:tc>
                <w:tcPr>
                  <w:tcW w:w="358" w:type="pct"/>
                  <w:vAlign w:val="bottom"/>
                </w:tcPr>
                <w:p w14:paraId="1A53DE9D"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355,245 </w:t>
                  </w:r>
                </w:p>
              </w:tc>
              <w:tc>
                <w:tcPr>
                  <w:tcW w:w="357" w:type="pct"/>
                  <w:vAlign w:val="bottom"/>
                </w:tcPr>
                <w:p w14:paraId="1E8FE409"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353,974 </w:t>
                  </w:r>
                </w:p>
              </w:tc>
              <w:tc>
                <w:tcPr>
                  <w:tcW w:w="357" w:type="pct"/>
                  <w:vAlign w:val="bottom"/>
                </w:tcPr>
                <w:p w14:paraId="112BED3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371,673 </w:t>
                  </w:r>
                </w:p>
              </w:tc>
              <w:tc>
                <w:tcPr>
                  <w:tcW w:w="408" w:type="pct"/>
                  <w:vAlign w:val="bottom"/>
                </w:tcPr>
                <w:p w14:paraId="5D36FB9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2,048,313 </w:t>
                  </w:r>
                </w:p>
              </w:tc>
            </w:tr>
            <w:tr w:rsidR="00FC5D20" w:rsidRPr="00F709CE" w14:paraId="63CB90B3" w14:textId="77777777" w:rsidTr="00FC5D20">
              <w:tc>
                <w:tcPr>
                  <w:tcW w:w="2142" w:type="pct"/>
                </w:tcPr>
                <w:p w14:paraId="4886D8FD"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B.4 CRP communications, open access, IP assets, </w:t>
                  </w:r>
                  <w:r>
                    <w:rPr>
                      <w:rFonts w:ascii="Calibri" w:hAnsi="Calibri" w:cs="Times New Roman"/>
                      <w:sz w:val="16"/>
                      <w:szCs w:val="16"/>
                      <w:lang w:eastAsia="en-GB"/>
                    </w:rPr>
                    <w:t>CKM</w:t>
                  </w:r>
                </w:p>
                <w:p w14:paraId="783F4AE2" w14:textId="77777777" w:rsidR="00FC5D20" w:rsidRPr="00F709CE" w:rsidRDefault="00FC5D20" w:rsidP="00FC5D20">
                  <w:pPr>
                    <w:ind w:left="596" w:hanging="425"/>
                    <w:rPr>
                      <w:rFonts w:ascii="Calibri" w:hAnsi="Calibri" w:cs="Times New Roman"/>
                      <w:sz w:val="16"/>
                      <w:szCs w:val="16"/>
                      <w:lang w:eastAsia="en-GB"/>
                    </w:rPr>
                  </w:pPr>
                  <w:r>
                    <w:rPr>
                      <w:rFonts w:ascii="Calibri" w:hAnsi="Calibri" w:cs="Times New Roman"/>
                      <w:sz w:val="16"/>
                      <w:szCs w:val="16"/>
                      <w:lang w:eastAsia="en-GB"/>
                    </w:rPr>
                    <w:tab/>
                    <w:t>(including lead c</w:t>
                  </w:r>
                  <w:r w:rsidRPr="00F709CE">
                    <w:rPr>
                      <w:rFonts w:ascii="Calibri" w:hAnsi="Calibri" w:cs="Times New Roman"/>
                      <w:sz w:val="16"/>
                      <w:szCs w:val="16"/>
                      <w:lang w:eastAsia="en-GB"/>
                    </w:rPr>
                    <w:t xml:space="preserve">entre staff budgeted as direct costs not allowed under A.6 above) </w:t>
                  </w:r>
                </w:p>
              </w:tc>
              <w:tc>
                <w:tcPr>
                  <w:tcW w:w="306" w:type="pct"/>
                </w:tcPr>
                <w:p w14:paraId="2F28AC4D"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4666C48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505,609 </w:t>
                  </w:r>
                </w:p>
              </w:tc>
              <w:tc>
                <w:tcPr>
                  <w:tcW w:w="357" w:type="pct"/>
                  <w:vAlign w:val="bottom"/>
                </w:tcPr>
                <w:p w14:paraId="6F8EAF4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530,889 </w:t>
                  </w:r>
                </w:p>
              </w:tc>
              <w:tc>
                <w:tcPr>
                  <w:tcW w:w="357" w:type="pct"/>
                  <w:vAlign w:val="bottom"/>
                </w:tcPr>
                <w:p w14:paraId="4FE846F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557,434 </w:t>
                  </w:r>
                </w:p>
              </w:tc>
              <w:tc>
                <w:tcPr>
                  <w:tcW w:w="358" w:type="pct"/>
                  <w:vAlign w:val="bottom"/>
                </w:tcPr>
                <w:p w14:paraId="1CF810E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585,306 </w:t>
                  </w:r>
                </w:p>
              </w:tc>
              <w:tc>
                <w:tcPr>
                  <w:tcW w:w="357" w:type="pct"/>
                  <w:vAlign w:val="bottom"/>
                </w:tcPr>
                <w:p w14:paraId="73AE5D1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614,571 </w:t>
                  </w:r>
                </w:p>
              </w:tc>
              <w:tc>
                <w:tcPr>
                  <w:tcW w:w="357" w:type="pct"/>
                  <w:vAlign w:val="bottom"/>
                </w:tcPr>
                <w:p w14:paraId="0335308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645,299 </w:t>
                  </w:r>
                </w:p>
              </w:tc>
              <w:tc>
                <w:tcPr>
                  <w:tcW w:w="408" w:type="pct"/>
                  <w:vAlign w:val="bottom"/>
                </w:tcPr>
                <w:p w14:paraId="2A92FB9D"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3,439,108 </w:t>
                  </w:r>
                </w:p>
              </w:tc>
            </w:tr>
            <w:tr w:rsidR="00FC5D20" w:rsidRPr="00F709CE" w14:paraId="352F6B78" w14:textId="77777777" w:rsidTr="00FC5D20">
              <w:tc>
                <w:tcPr>
                  <w:tcW w:w="2142" w:type="pct"/>
                </w:tcPr>
                <w:p w14:paraId="137B0BA1"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B.5 CRP </w:t>
                  </w:r>
                  <w:proofErr w:type="spellStart"/>
                  <w:r w:rsidRPr="00F709CE">
                    <w:rPr>
                      <w:rFonts w:ascii="Calibri" w:hAnsi="Calibri" w:cs="Times New Roman"/>
                      <w:sz w:val="16"/>
                      <w:szCs w:val="16"/>
                      <w:lang w:eastAsia="en-GB"/>
                    </w:rPr>
                    <w:t>Capdev</w:t>
                  </w:r>
                  <w:proofErr w:type="spellEnd"/>
                  <w:r w:rsidRPr="00F709CE">
                    <w:rPr>
                      <w:rFonts w:ascii="Calibri" w:hAnsi="Calibri" w:cs="Times New Roman"/>
                      <w:sz w:val="16"/>
                      <w:szCs w:val="16"/>
                      <w:lang w:eastAsia="en-GB"/>
                    </w:rPr>
                    <w:t xml:space="preserve"> coordination </w:t>
                  </w:r>
                </w:p>
                <w:p w14:paraId="7279E8D7" w14:textId="77777777" w:rsidR="00FC5D20" w:rsidRPr="00F709CE" w:rsidRDefault="00FC5D20" w:rsidP="00FC5D20">
                  <w:pPr>
                    <w:rPr>
                      <w:rFonts w:ascii="Calibri" w:hAnsi="Calibri" w:cs="Times New Roman"/>
                      <w:i/>
                      <w:sz w:val="16"/>
                      <w:szCs w:val="16"/>
                      <w:lang w:eastAsia="en-GB"/>
                    </w:rPr>
                  </w:pPr>
                  <w:proofErr w:type="spellStart"/>
                  <w:r w:rsidRPr="00F709CE">
                    <w:rPr>
                      <w:rFonts w:ascii="Calibri" w:hAnsi="Calibri" w:cs="Times New Roman"/>
                      <w:i/>
                      <w:sz w:val="16"/>
                      <w:szCs w:val="16"/>
                      <w:lang w:eastAsia="en-GB"/>
                    </w:rPr>
                    <w:t>CapDev</w:t>
                  </w:r>
                  <w:proofErr w:type="spellEnd"/>
                  <w:r w:rsidRPr="00F709CE">
                    <w:rPr>
                      <w:rFonts w:ascii="Calibri" w:hAnsi="Calibri" w:cs="Times New Roman"/>
                      <w:i/>
                      <w:sz w:val="16"/>
                      <w:szCs w:val="16"/>
                      <w:lang w:eastAsia="en-GB"/>
                    </w:rPr>
                    <w:t xml:space="preserve"> Coordinator’s salary and travel</w:t>
                  </w:r>
                </w:p>
              </w:tc>
              <w:tc>
                <w:tcPr>
                  <w:tcW w:w="306" w:type="pct"/>
                </w:tcPr>
                <w:p w14:paraId="49E679A4"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29D55408"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50,376 </w:t>
                  </w:r>
                </w:p>
              </w:tc>
              <w:tc>
                <w:tcPr>
                  <w:tcW w:w="357" w:type="pct"/>
                  <w:vAlign w:val="bottom"/>
                </w:tcPr>
                <w:p w14:paraId="78058D5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52,895 </w:t>
                  </w:r>
                </w:p>
              </w:tc>
              <w:tc>
                <w:tcPr>
                  <w:tcW w:w="357" w:type="pct"/>
                  <w:vAlign w:val="bottom"/>
                </w:tcPr>
                <w:p w14:paraId="080D66E2"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55,539 </w:t>
                  </w:r>
                </w:p>
              </w:tc>
              <w:tc>
                <w:tcPr>
                  <w:tcW w:w="358" w:type="pct"/>
                  <w:vAlign w:val="bottom"/>
                </w:tcPr>
                <w:p w14:paraId="053098D6"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58,316 </w:t>
                  </w:r>
                </w:p>
              </w:tc>
              <w:tc>
                <w:tcPr>
                  <w:tcW w:w="357" w:type="pct"/>
                  <w:vAlign w:val="bottom"/>
                </w:tcPr>
                <w:p w14:paraId="34640E1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61,232 </w:t>
                  </w:r>
                </w:p>
              </w:tc>
              <w:tc>
                <w:tcPr>
                  <w:tcW w:w="357" w:type="pct"/>
                  <w:vAlign w:val="bottom"/>
                </w:tcPr>
                <w:p w14:paraId="7D7CE1E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64,294 </w:t>
                  </w:r>
                </w:p>
              </w:tc>
              <w:tc>
                <w:tcPr>
                  <w:tcW w:w="408" w:type="pct"/>
                  <w:vAlign w:val="bottom"/>
                </w:tcPr>
                <w:p w14:paraId="3AF3C73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342,651 </w:t>
                  </w:r>
                </w:p>
              </w:tc>
            </w:tr>
            <w:tr w:rsidR="00FC5D20" w:rsidRPr="00F709CE" w14:paraId="02EB12D6" w14:textId="77777777" w:rsidTr="00FC5D20">
              <w:tc>
                <w:tcPr>
                  <w:tcW w:w="2142" w:type="pct"/>
                </w:tcPr>
                <w:p w14:paraId="773A9B2E"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t xml:space="preserve">B.6 CRP Gender and youth coordination </w:t>
                  </w:r>
                </w:p>
                <w:p w14:paraId="1E602395" w14:textId="77777777" w:rsidR="00FC5D20" w:rsidRPr="00F709CE" w:rsidRDefault="00FC5D20" w:rsidP="00FC5D20">
                  <w:pPr>
                    <w:ind w:left="142" w:firstLine="29"/>
                    <w:rPr>
                      <w:rFonts w:ascii="Calibri" w:hAnsi="Calibri" w:cs="Times New Roman"/>
                      <w:i/>
                      <w:sz w:val="16"/>
                      <w:szCs w:val="16"/>
                      <w:lang w:eastAsia="en-GB"/>
                    </w:rPr>
                  </w:pPr>
                  <w:r w:rsidRPr="00F709CE">
                    <w:rPr>
                      <w:rFonts w:ascii="Calibri" w:hAnsi="Calibri" w:cs="Times New Roman"/>
                      <w:i/>
                      <w:sz w:val="16"/>
                      <w:szCs w:val="16"/>
                      <w:lang w:eastAsia="en-GB"/>
                    </w:rPr>
                    <w:lastRenderedPageBreak/>
                    <w:t>Gender and youth coordinator’s salary and travel</w:t>
                  </w:r>
                </w:p>
              </w:tc>
              <w:tc>
                <w:tcPr>
                  <w:tcW w:w="306" w:type="pct"/>
                </w:tcPr>
                <w:p w14:paraId="6941C5F2"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lastRenderedPageBreak/>
                    <w:t>Amount:</w:t>
                  </w:r>
                </w:p>
              </w:tc>
              <w:tc>
                <w:tcPr>
                  <w:tcW w:w="357" w:type="pct"/>
                  <w:vAlign w:val="bottom"/>
                </w:tcPr>
                <w:p w14:paraId="1B53C54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104,029 </w:t>
                  </w:r>
                </w:p>
              </w:tc>
              <w:tc>
                <w:tcPr>
                  <w:tcW w:w="357" w:type="pct"/>
                  <w:vAlign w:val="bottom"/>
                </w:tcPr>
                <w:p w14:paraId="77C52CDB"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109,230 </w:t>
                  </w:r>
                </w:p>
              </w:tc>
              <w:tc>
                <w:tcPr>
                  <w:tcW w:w="357" w:type="pct"/>
                  <w:vAlign w:val="bottom"/>
                </w:tcPr>
                <w:p w14:paraId="6256C07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114,692 </w:t>
                  </w:r>
                </w:p>
              </w:tc>
              <w:tc>
                <w:tcPr>
                  <w:tcW w:w="358" w:type="pct"/>
                  <w:vAlign w:val="bottom"/>
                </w:tcPr>
                <w:p w14:paraId="3523BA8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120,427 </w:t>
                  </w:r>
                </w:p>
              </w:tc>
              <w:tc>
                <w:tcPr>
                  <w:tcW w:w="357" w:type="pct"/>
                  <w:vAlign w:val="bottom"/>
                </w:tcPr>
                <w:p w14:paraId="36B89B13"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126,448 </w:t>
                  </w:r>
                </w:p>
              </w:tc>
              <w:tc>
                <w:tcPr>
                  <w:tcW w:w="357" w:type="pct"/>
                  <w:vAlign w:val="bottom"/>
                </w:tcPr>
                <w:p w14:paraId="6321F84C"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132,770 </w:t>
                  </w:r>
                </w:p>
              </w:tc>
              <w:tc>
                <w:tcPr>
                  <w:tcW w:w="408" w:type="pct"/>
                  <w:vAlign w:val="bottom"/>
                </w:tcPr>
                <w:p w14:paraId="293F77F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707,596 </w:t>
                  </w:r>
                </w:p>
              </w:tc>
            </w:tr>
            <w:tr w:rsidR="00FC5D20" w:rsidRPr="00F709CE" w14:paraId="3D499A10" w14:textId="77777777" w:rsidTr="00FC5D20">
              <w:tc>
                <w:tcPr>
                  <w:tcW w:w="2142" w:type="pct"/>
                </w:tcPr>
                <w:p w14:paraId="0F3E3AC4" w14:textId="77777777" w:rsidR="00FC5D20" w:rsidRPr="00F709CE" w:rsidRDefault="00FC5D20" w:rsidP="00FC5D20">
                  <w:pPr>
                    <w:ind w:left="596" w:hanging="425"/>
                    <w:rPr>
                      <w:rFonts w:ascii="Calibri" w:hAnsi="Calibri" w:cs="Times New Roman"/>
                      <w:sz w:val="16"/>
                      <w:szCs w:val="16"/>
                      <w:lang w:eastAsia="en-GB"/>
                    </w:rPr>
                  </w:pPr>
                  <w:r w:rsidRPr="00F709CE">
                    <w:rPr>
                      <w:rFonts w:ascii="Calibri" w:hAnsi="Calibri" w:cs="Times New Roman"/>
                      <w:sz w:val="16"/>
                      <w:szCs w:val="16"/>
                      <w:lang w:eastAsia="en-GB"/>
                    </w:rPr>
                    <w:lastRenderedPageBreak/>
                    <w:t>B.7 CRP Site integration support</w:t>
                  </w:r>
                </w:p>
                <w:p w14:paraId="61612C52" w14:textId="77777777" w:rsidR="00FC5D20" w:rsidRPr="00F709CE" w:rsidRDefault="00FC5D20" w:rsidP="00FC5D20">
                  <w:pPr>
                    <w:rPr>
                      <w:rFonts w:ascii="Calibri" w:hAnsi="Calibri" w:cs="Times New Roman"/>
                      <w:i/>
                      <w:sz w:val="16"/>
                      <w:szCs w:val="16"/>
                      <w:lang w:eastAsia="en-GB"/>
                    </w:rPr>
                  </w:pPr>
                  <w:r w:rsidRPr="00F709CE">
                    <w:rPr>
                      <w:rFonts w:ascii="Calibri" w:hAnsi="Calibri" w:cs="Times New Roman"/>
                      <w:i/>
                      <w:sz w:val="16"/>
                      <w:szCs w:val="16"/>
                      <w:lang w:eastAsia="en-GB"/>
                    </w:rPr>
                    <w:t>Contributions to CG</w:t>
                  </w:r>
                  <w:r>
                    <w:rPr>
                      <w:rFonts w:ascii="Calibri" w:hAnsi="Calibri" w:cs="Times New Roman"/>
                      <w:i/>
                      <w:sz w:val="16"/>
                      <w:szCs w:val="16"/>
                      <w:lang w:eastAsia="en-GB"/>
                    </w:rPr>
                    <w:t>IAR</w:t>
                  </w:r>
                  <w:r w:rsidRPr="00F709CE">
                    <w:rPr>
                      <w:rFonts w:ascii="Calibri" w:hAnsi="Calibri" w:cs="Times New Roman"/>
                      <w:i/>
                      <w:sz w:val="16"/>
                      <w:szCs w:val="16"/>
                      <w:lang w:eastAsia="en-GB"/>
                    </w:rPr>
                    <w:t xml:space="preserve"> country coordination activities</w:t>
                  </w:r>
                </w:p>
              </w:tc>
              <w:tc>
                <w:tcPr>
                  <w:tcW w:w="306" w:type="pct"/>
                </w:tcPr>
                <w:p w14:paraId="67EE42B1"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vAlign w:val="bottom"/>
                </w:tcPr>
                <w:p w14:paraId="3A8178A3"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56,925 </w:t>
                  </w:r>
                </w:p>
              </w:tc>
              <w:tc>
                <w:tcPr>
                  <w:tcW w:w="357" w:type="pct"/>
                  <w:vAlign w:val="bottom"/>
                </w:tcPr>
                <w:p w14:paraId="13FDD41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59,771 </w:t>
                  </w:r>
                </w:p>
              </w:tc>
              <w:tc>
                <w:tcPr>
                  <w:tcW w:w="357" w:type="pct"/>
                  <w:vAlign w:val="bottom"/>
                </w:tcPr>
                <w:p w14:paraId="0BBF40A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62,760 </w:t>
                  </w:r>
                </w:p>
              </w:tc>
              <w:tc>
                <w:tcPr>
                  <w:tcW w:w="358" w:type="pct"/>
                  <w:vAlign w:val="bottom"/>
                </w:tcPr>
                <w:p w14:paraId="431FA0D4"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65,898 </w:t>
                  </w:r>
                </w:p>
              </w:tc>
              <w:tc>
                <w:tcPr>
                  <w:tcW w:w="357" w:type="pct"/>
                  <w:vAlign w:val="bottom"/>
                </w:tcPr>
                <w:p w14:paraId="2F69C945"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69,193 </w:t>
                  </w:r>
                </w:p>
              </w:tc>
              <w:tc>
                <w:tcPr>
                  <w:tcW w:w="357" w:type="pct"/>
                  <w:vAlign w:val="bottom"/>
                </w:tcPr>
                <w:p w14:paraId="085B3742"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72,652 </w:t>
                  </w:r>
                </w:p>
              </w:tc>
              <w:tc>
                <w:tcPr>
                  <w:tcW w:w="408" w:type="pct"/>
                  <w:vAlign w:val="bottom"/>
                </w:tcPr>
                <w:p w14:paraId="2E6394A0"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387,199 </w:t>
                  </w:r>
                </w:p>
              </w:tc>
            </w:tr>
            <w:tr w:rsidR="00FC5D20" w:rsidRPr="00F709CE" w14:paraId="73E553AC" w14:textId="77777777" w:rsidTr="00FC5D20">
              <w:tc>
                <w:tcPr>
                  <w:tcW w:w="2142" w:type="pct"/>
                </w:tcPr>
                <w:p w14:paraId="4BA82CC8" w14:textId="77777777" w:rsidR="00FC5D20" w:rsidRPr="00F709CE" w:rsidRDefault="00FC5D20" w:rsidP="00FC5D20">
                  <w:pPr>
                    <w:ind w:left="454" w:hanging="425"/>
                    <w:rPr>
                      <w:rFonts w:ascii="Calibri" w:hAnsi="Calibri" w:cs="Times New Roman"/>
                      <w:sz w:val="16"/>
                      <w:szCs w:val="16"/>
                      <w:lang w:eastAsia="en-GB"/>
                    </w:rPr>
                  </w:pPr>
                  <w:r>
                    <w:rPr>
                      <w:rFonts w:ascii="Calibri" w:hAnsi="Calibri" w:cs="Times New Roman"/>
                      <w:sz w:val="16"/>
                      <w:szCs w:val="16"/>
                      <w:lang w:eastAsia="en-GB"/>
                    </w:rPr>
                    <w:t xml:space="preserve"> </w:t>
                  </w:r>
                  <w:r w:rsidRPr="00F709CE">
                    <w:rPr>
                      <w:rFonts w:ascii="Calibri" w:hAnsi="Calibri" w:cs="Times New Roman"/>
                      <w:sz w:val="16"/>
                      <w:szCs w:val="16"/>
                      <w:lang w:eastAsia="en-GB"/>
                    </w:rPr>
                    <w:t>B.8 Other: Country Coordination</w:t>
                  </w:r>
                </w:p>
                <w:p w14:paraId="0DCACDC0" w14:textId="77777777" w:rsidR="00FC5D20" w:rsidRPr="00F709CE" w:rsidRDefault="00FC5D20" w:rsidP="00FC5D20">
                  <w:pPr>
                    <w:ind w:left="142"/>
                    <w:rPr>
                      <w:rFonts w:ascii="Calibri" w:hAnsi="Calibri" w:cs="Times New Roman"/>
                      <w:i/>
                      <w:sz w:val="16"/>
                      <w:szCs w:val="16"/>
                      <w:lang w:eastAsia="en-GB"/>
                    </w:rPr>
                  </w:pPr>
                  <w:r w:rsidRPr="00F709CE">
                    <w:rPr>
                      <w:rFonts w:ascii="Calibri" w:hAnsi="Calibri" w:cs="Times New Roman"/>
                      <w:i/>
                      <w:sz w:val="16"/>
                      <w:szCs w:val="16"/>
                      <w:lang w:eastAsia="en-GB"/>
                    </w:rPr>
                    <w:t>CRP country coordinator and office costs (15%)</w:t>
                  </w:r>
                </w:p>
              </w:tc>
              <w:tc>
                <w:tcPr>
                  <w:tcW w:w="306" w:type="pct"/>
                </w:tcPr>
                <w:p w14:paraId="3843F11A"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 xml:space="preserve">Amount: </w:t>
                  </w:r>
                </w:p>
              </w:tc>
              <w:tc>
                <w:tcPr>
                  <w:tcW w:w="357" w:type="pct"/>
                  <w:vAlign w:val="bottom"/>
                </w:tcPr>
                <w:p w14:paraId="21854EAF"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165,600 </w:t>
                  </w:r>
                </w:p>
              </w:tc>
              <w:tc>
                <w:tcPr>
                  <w:tcW w:w="357" w:type="pct"/>
                  <w:vAlign w:val="bottom"/>
                </w:tcPr>
                <w:p w14:paraId="12285A0E"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173,880 </w:t>
                  </w:r>
                </w:p>
              </w:tc>
              <w:tc>
                <w:tcPr>
                  <w:tcW w:w="357" w:type="pct"/>
                  <w:vAlign w:val="bottom"/>
                </w:tcPr>
                <w:p w14:paraId="311393B1"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188,612 </w:t>
                  </w:r>
                </w:p>
              </w:tc>
              <w:tc>
                <w:tcPr>
                  <w:tcW w:w="358" w:type="pct"/>
                  <w:vAlign w:val="bottom"/>
                </w:tcPr>
                <w:p w14:paraId="5715C783"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198,043 </w:t>
                  </w:r>
                </w:p>
              </w:tc>
              <w:tc>
                <w:tcPr>
                  <w:tcW w:w="357" w:type="pct"/>
                  <w:vAlign w:val="bottom"/>
                </w:tcPr>
                <w:p w14:paraId="7993E11A"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207,945 </w:t>
                  </w:r>
                </w:p>
              </w:tc>
              <w:tc>
                <w:tcPr>
                  <w:tcW w:w="357" w:type="pct"/>
                  <w:vAlign w:val="bottom"/>
                </w:tcPr>
                <w:p w14:paraId="392F8D98"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218,342 </w:t>
                  </w:r>
                </w:p>
              </w:tc>
              <w:tc>
                <w:tcPr>
                  <w:tcW w:w="408" w:type="pct"/>
                  <w:vAlign w:val="bottom"/>
                </w:tcPr>
                <w:p w14:paraId="7057D077" w14:textId="77777777" w:rsidR="00FC5D20" w:rsidRPr="00F709CE" w:rsidRDefault="00FC5D20" w:rsidP="00FC5D20">
                  <w:pPr>
                    <w:jc w:val="right"/>
                    <w:rPr>
                      <w:rFonts w:ascii="Calibri" w:hAnsi="Calibri" w:cs="Times New Roman"/>
                      <w:sz w:val="16"/>
                      <w:szCs w:val="16"/>
                      <w:lang w:eastAsia="en-GB"/>
                    </w:rPr>
                  </w:pPr>
                  <w:r w:rsidRPr="00F709CE">
                    <w:rPr>
                      <w:rFonts w:ascii="Calibri" w:eastAsia="Times New Roman" w:hAnsi="Calibri" w:cs="Times New Roman"/>
                      <w:sz w:val="16"/>
                      <w:szCs w:val="16"/>
                      <w:lang w:eastAsia="en-GB"/>
                    </w:rPr>
                    <w:t xml:space="preserve"> 1,152,421 </w:t>
                  </w:r>
                </w:p>
              </w:tc>
            </w:tr>
            <w:tr w:rsidR="00FC5D20" w:rsidRPr="00F709CE" w14:paraId="0C051DE0" w14:textId="77777777" w:rsidTr="00FC5D20">
              <w:tc>
                <w:tcPr>
                  <w:tcW w:w="2142" w:type="pct"/>
                </w:tcPr>
                <w:p w14:paraId="3FC7E3CC" w14:textId="77777777" w:rsidR="00FC5D20" w:rsidRPr="00F709CE" w:rsidRDefault="00FC5D20" w:rsidP="00FC5D20">
                  <w:pPr>
                    <w:tabs>
                      <w:tab w:val="left" w:pos="851"/>
                    </w:tabs>
                    <w:ind w:left="454" w:hanging="425"/>
                    <w:rPr>
                      <w:rFonts w:ascii="Calibri" w:hAnsi="Calibri" w:cs="Times New Roman"/>
                      <w:sz w:val="16"/>
                      <w:szCs w:val="16"/>
                      <w:lang w:eastAsia="en-GB"/>
                    </w:rPr>
                  </w:pPr>
                  <w:r w:rsidRPr="00F709CE">
                    <w:rPr>
                      <w:rFonts w:ascii="Calibri" w:hAnsi="Calibri" w:cs="Times New Roman"/>
                      <w:sz w:val="16"/>
                      <w:szCs w:val="16"/>
                      <w:lang w:eastAsia="en-GB"/>
                    </w:rPr>
                    <w:t xml:space="preserve">C. Strategic Investment Fund </w:t>
                  </w:r>
                </w:p>
              </w:tc>
              <w:tc>
                <w:tcPr>
                  <w:tcW w:w="306" w:type="pct"/>
                </w:tcPr>
                <w:p w14:paraId="727ADBC1" w14:textId="77777777" w:rsidR="00FC5D20" w:rsidRPr="00F709CE" w:rsidRDefault="00FC5D20" w:rsidP="00FC5D20">
                  <w:pPr>
                    <w:tabs>
                      <w:tab w:val="left" w:pos="851"/>
                    </w:tabs>
                    <w:rPr>
                      <w:rFonts w:ascii="Calibri" w:hAnsi="Calibri" w:cs="Times New Roman"/>
                      <w:sz w:val="16"/>
                      <w:szCs w:val="16"/>
                      <w:lang w:eastAsia="en-GB"/>
                    </w:rPr>
                  </w:pPr>
                  <w:r w:rsidRPr="00F709CE">
                    <w:rPr>
                      <w:rFonts w:ascii="Calibri" w:hAnsi="Calibri" w:cs="Times New Roman"/>
                      <w:sz w:val="16"/>
                      <w:szCs w:val="16"/>
                      <w:lang w:eastAsia="en-GB"/>
                    </w:rPr>
                    <w:t xml:space="preserve">Amount: </w:t>
                  </w:r>
                </w:p>
              </w:tc>
              <w:tc>
                <w:tcPr>
                  <w:tcW w:w="357" w:type="pct"/>
                  <w:vAlign w:val="bottom"/>
                </w:tcPr>
                <w:p w14:paraId="6E4D625D"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2,533,074</w:t>
                  </w:r>
                </w:p>
              </w:tc>
              <w:tc>
                <w:tcPr>
                  <w:tcW w:w="357" w:type="pct"/>
                  <w:vAlign w:val="bottom"/>
                </w:tcPr>
                <w:p w14:paraId="29C36F51"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2,659728 </w:t>
                  </w:r>
                </w:p>
              </w:tc>
              <w:tc>
                <w:tcPr>
                  <w:tcW w:w="357" w:type="pct"/>
                  <w:vAlign w:val="bottom"/>
                </w:tcPr>
                <w:p w14:paraId="49922EB2"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2,792,714 </w:t>
                  </w:r>
                </w:p>
              </w:tc>
              <w:tc>
                <w:tcPr>
                  <w:tcW w:w="358" w:type="pct"/>
                  <w:vAlign w:val="bottom"/>
                </w:tcPr>
                <w:p w14:paraId="08164C51"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2,932,350 </w:t>
                  </w:r>
                </w:p>
              </w:tc>
              <w:tc>
                <w:tcPr>
                  <w:tcW w:w="357" w:type="pct"/>
                  <w:vAlign w:val="bottom"/>
                </w:tcPr>
                <w:p w14:paraId="5A7A773F"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3,078,967 </w:t>
                  </w:r>
                </w:p>
              </w:tc>
              <w:tc>
                <w:tcPr>
                  <w:tcW w:w="357" w:type="pct"/>
                  <w:vAlign w:val="bottom"/>
                </w:tcPr>
                <w:p w14:paraId="273D9217"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3,232,916 </w:t>
                  </w:r>
                </w:p>
              </w:tc>
              <w:tc>
                <w:tcPr>
                  <w:tcW w:w="408" w:type="pct"/>
                  <w:vAlign w:val="bottom"/>
                </w:tcPr>
                <w:p w14:paraId="001A4CE8" w14:textId="77777777" w:rsidR="00FC5D20" w:rsidRPr="00F709CE" w:rsidRDefault="00FC5D20" w:rsidP="00FC5D20">
                  <w:pPr>
                    <w:tabs>
                      <w:tab w:val="left" w:pos="851"/>
                    </w:tabs>
                    <w:jc w:val="right"/>
                    <w:rPr>
                      <w:rFonts w:ascii="Calibri" w:hAnsi="Calibri" w:cs="Times New Roman"/>
                      <w:b/>
                      <w:sz w:val="16"/>
                      <w:szCs w:val="16"/>
                      <w:lang w:eastAsia="en-GB"/>
                    </w:rPr>
                  </w:pPr>
                  <w:r w:rsidRPr="00F709CE">
                    <w:rPr>
                      <w:rFonts w:ascii="Calibri" w:eastAsia="Times New Roman" w:hAnsi="Calibri" w:cs="Times New Roman"/>
                      <w:b/>
                      <w:bCs/>
                      <w:sz w:val="16"/>
                      <w:szCs w:val="16"/>
                      <w:lang w:eastAsia="en-GB"/>
                    </w:rPr>
                    <w:t xml:space="preserve"> 17,229,749 </w:t>
                  </w:r>
                </w:p>
              </w:tc>
            </w:tr>
            <w:tr w:rsidR="00FC5D20" w:rsidRPr="00F709CE" w14:paraId="683E1697" w14:textId="77777777" w:rsidTr="00FC5D20">
              <w:tc>
                <w:tcPr>
                  <w:tcW w:w="2142" w:type="pct"/>
                </w:tcPr>
                <w:p w14:paraId="3B57D9B1" w14:textId="77777777" w:rsidR="00FC5D20" w:rsidRPr="00F709CE" w:rsidRDefault="00FC5D20" w:rsidP="00FC5D20">
                  <w:pPr>
                    <w:ind w:left="454" w:hanging="425"/>
                    <w:rPr>
                      <w:rFonts w:ascii="Calibri" w:hAnsi="Calibri" w:cs="Times New Roman"/>
                      <w:sz w:val="16"/>
                      <w:szCs w:val="16"/>
                      <w:lang w:eastAsia="en-GB"/>
                    </w:rPr>
                  </w:pPr>
                </w:p>
              </w:tc>
              <w:tc>
                <w:tcPr>
                  <w:tcW w:w="306" w:type="pct"/>
                </w:tcPr>
                <w:p w14:paraId="34472FD0" w14:textId="77777777" w:rsidR="00FC5D20" w:rsidRPr="00F709CE" w:rsidRDefault="00FC5D20" w:rsidP="00FC5D20">
                  <w:pPr>
                    <w:rPr>
                      <w:rFonts w:ascii="Calibri" w:hAnsi="Calibri" w:cs="Times New Roman"/>
                      <w:sz w:val="16"/>
                      <w:szCs w:val="16"/>
                      <w:lang w:eastAsia="en-GB"/>
                    </w:rPr>
                  </w:pPr>
                </w:p>
              </w:tc>
              <w:tc>
                <w:tcPr>
                  <w:tcW w:w="357" w:type="pct"/>
                </w:tcPr>
                <w:p w14:paraId="2A0204EC"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2017</w:t>
                  </w:r>
                </w:p>
              </w:tc>
              <w:tc>
                <w:tcPr>
                  <w:tcW w:w="357" w:type="pct"/>
                </w:tcPr>
                <w:p w14:paraId="2A839AB7"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2018</w:t>
                  </w:r>
                </w:p>
              </w:tc>
              <w:tc>
                <w:tcPr>
                  <w:tcW w:w="357" w:type="pct"/>
                </w:tcPr>
                <w:p w14:paraId="15D3352D"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2019</w:t>
                  </w:r>
                </w:p>
              </w:tc>
              <w:tc>
                <w:tcPr>
                  <w:tcW w:w="358" w:type="pct"/>
                </w:tcPr>
                <w:p w14:paraId="62ABB8E4"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2020</w:t>
                  </w:r>
                </w:p>
              </w:tc>
              <w:tc>
                <w:tcPr>
                  <w:tcW w:w="357" w:type="pct"/>
                </w:tcPr>
                <w:p w14:paraId="70E0EFD9"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2021</w:t>
                  </w:r>
                </w:p>
              </w:tc>
              <w:tc>
                <w:tcPr>
                  <w:tcW w:w="357" w:type="pct"/>
                </w:tcPr>
                <w:p w14:paraId="005E3CB1"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2022</w:t>
                  </w:r>
                </w:p>
              </w:tc>
              <w:tc>
                <w:tcPr>
                  <w:tcW w:w="408" w:type="pct"/>
                </w:tcPr>
                <w:p w14:paraId="3A4AF24C" w14:textId="77777777" w:rsidR="00FC5D20" w:rsidRPr="00F709CE" w:rsidRDefault="00FC5D20" w:rsidP="00FC5D20">
                  <w:pPr>
                    <w:jc w:val="center"/>
                    <w:rPr>
                      <w:rFonts w:ascii="Calibri" w:hAnsi="Calibri" w:cs="Times New Roman"/>
                      <w:b/>
                      <w:sz w:val="16"/>
                      <w:szCs w:val="16"/>
                      <w:lang w:eastAsia="en-GB"/>
                    </w:rPr>
                  </w:pPr>
                  <w:r w:rsidRPr="00F709CE">
                    <w:rPr>
                      <w:rFonts w:ascii="Calibri" w:hAnsi="Calibri" w:cs="Times New Roman"/>
                      <w:b/>
                      <w:sz w:val="16"/>
                      <w:szCs w:val="16"/>
                      <w:lang w:eastAsia="en-GB"/>
                    </w:rPr>
                    <w:t>6-year Total</w:t>
                  </w:r>
                </w:p>
              </w:tc>
            </w:tr>
            <w:tr w:rsidR="00FC5D20" w:rsidRPr="00F709CE" w14:paraId="2F93C2FA" w14:textId="77777777" w:rsidTr="00FC5D20">
              <w:trPr>
                <w:trHeight w:val="737"/>
              </w:trPr>
              <w:tc>
                <w:tcPr>
                  <w:tcW w:w="2142" w:type="pct"/>
                </w:tcPr>
                <w:p w14:paraId="30F583EF" w14:textId="77777777" w:rsidR="00FC5D20" w:rsidRPr="00F709CE" w:rsidRDefault="00FC5D20" w:rsidP="00FC5D20">
                  <w:pPr>
                    <w:numPr>
                      <w:ilvl w:val="0"/>
                      <w:numId w:val="47"/>
                    </w:numPr>
                    <w:ind w:left="341" w:hanging="283"/>
                    <w:rPr>
                      <w:rFonts w:ascii="Calibri" w:hAnsi="Calibri" w:cs="Times New Roman"/>
                      <w:sz w:val="16"/>
                      <w:szCs w:val="16"/>
                      <w:lang w:eastAsia="en-GB"/>
                    </w:rPr>
                  </w:pPr>
                  <w:r w:rsidRPr="00F709CE">
                    <w:rPr>
                      <w:rFonts w:ascii="Calibri" w:hAnsi="Calibri" w:cs="Times New Roman"/>
                      <w:b/>
                      <w:sz w:val="16"/>
                      <w:szCs w:val="16"/>
                      <w:lang w:eastAsia="en-GB"/>
                    </w:rPr>
                    <w:t>Funding source:</w:t>
                  </w:r>
                  <w:r w:rsidRPr="00F709CE">
                    <w:rPr>
                      <w:rFonts w:ascii="Calibri" w:hAnsi="Calibri" w:cs="Times New Roman"/>
                      <w:sz w:val="16"/>
                      <w:szCs w:val="16"/>
                      <w:lang w:eastAsia="en-GB"/>
                    </w:rPr>
                    <w:t xml:space="preserve"> MSC budget is assumed </w:t>
                  </w:r>
                  <w:r>
                    <w:rPr>
                      <w:rFonts w:ascii="Calibri" w:hAnsi="Calibri" w:cs="Times New Roman"/>
                      <w:sz w:val="16"/>
                      <w:szCs w:val="16"/>
                      <w:lang w:eastAsia="en-GB"/>
                    </w:rPr>
                    <w:t xml:space="preserve">to be </w:t>
                  </w:r>
                  <w:r w:rsidRPr="00F709CE">
                    <w:rPr>
                      <w:rFonts w:ascii="Calibri" w:hAnsi="Calibri" w:cs="Times New Roman"/>
                      <w:sz w:val="16"/>
                      <w:szCs w:val="16"/>
                      <w:lang w:eastAsia="en-GB"/>
                    </w:rPr>
                    <w:t xml:space="preserve">funded from W1/2. Some CRPs have been successful in mobilizing W3/bilateral funding to support CRP-level cross-cutting initiatives. </w:t>
                  </w:r>
                </w:p>
              </w:tc>
              <w:tc>
                <w:tcPr>
                  <w:tcW w:w="306" w:type="pct"/>
                </w:tcPr>
                <w:p w14:paraId="55D342F0" w14:textId="77777777" w:rsidR="00FC5D20" w:rsidRPr="00F709CE" w:rsidRDefault="00FC5D20" w:rsidP="00FC5D20">
                  <w:pPr>
                    <w:rPr>
                      <w:rFonts w:ascii="Calibri" w:hAnsi="Calibri" w:cs="Times New Roman"/>
                      <w:sz w:val="16"/>
                      <w:szCs w:val="16"/>
                      <w:lang w:eastAsia="en-GB"/>
                    </w:rPr>
                  </w:pPr>
                </w:p>
              </w:tc>
              <w:tc>
                <w:tcPr>
                  <w:tcW w:w="357" w:type="pct"/>
                </w:tcPr>
                <w:p w14:paraId="24BBC63C"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52B0A57E"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5DC9A75E"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8" w:type="pct"/>
                </w:tcPr>
                <w:p w14:paraId="1C269DC3"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107F08CD"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74815478"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408" w:type="pct"/>
                </w:tcPr>
                <w:p w14:paraId="2092820C"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r>
            <w:tr w:rsidR="00FC5D20" w:rsidRPr="00F709CE" w14:paraId="618F5344" w14:textId="77777777" w:rsidTr="00FC5D20">
              <w:tc>
                <w:tcPr>
                  <w:tcW w:w="2142" w:type="pct"/>
                </w:tcPr>
                <w:p w14:paraId="52ABC8A3" w14:textId="77777777" w:rsidR="00FC5D20" w:rsidRPr="00F709CE" w:rsidRDefault="00FC5D20" w:rsidP="00FC5D20">
                  <w:pPr>
                    <w:ind w:left="454" w:hanging="425"/>
                    <w:rPr>
                      <w:rFonts w:ascii="Calibri" w:hAnsi="Calibri" w:cs="Times New Roman"/>
                      <w:sz w:val="16"/>
                      <w:szCs w:val="16"/>
                      <w:lang w:eastAsia="en-GB"/>
                    </w:rPr>
                  </w:pPr>
                  <w:r w:rsidRPr="00F709CE">
                    <w:rPr>
                      <w:rFonts w:ascii="Calibri" w:hAnsi="Calibri" w:cs="Times New Roman"/>
                      <w:sz w:val="16"/>
                      <w:szCs w:val="16"/>
                      <w:lang w:eastAsia="en-GB"/>
                    </w:rPr>
                    <w:t>D.1 Grant: (note name, donor; purpose in this cell)</w:t>
                  </w:r>
                </w:p>
              </w:tc>
              <w:tc>
                <w:tcPr>
                  <w:tcW w:w="306" w:type="pct"/>
                </w:tcPr>
                <w:p w14:paraId="233CEA8F" w14:textId="77777777" w:rsidR="00FC5D20" w:rsidRPr="00F709CE" w:rsidRDefault="00FC5D20" w:rsidP="00FC5D20">
                  <w:pPr>
                    <w:rPr>
                      <w:rFonts w:ascii="Calibri" w:hAnsi="Calibri" w:cs="Times New Roman"/>
                      <w:sz w:val="16"/>
                      <w:szCs w:val="16"/>
                      <w:lang w:eastAsia="en-GB"/>
                    </w:rPr>
                  </w:pPr>
                  <w:r w:rsidRPr="00F709CE">
                    <w:rPr>
                      <w:rFonts w:ascii="Calibri" w:hAnsi="Calibri" w:cs="Times New Roman"/>
                      <w:sz w:val="16"/>
                      <w:szCs w:val="16"/>
                      <w:lang w:eastAsia="en-GB"/>
                    </w:rPr>
                    <w:t>Amount:</w:t>
                  </w:r>
                </w:p>
              </w:tc>
              <w:tc>
                <w:tcPr>
                  <w:tcW w:w="357" w:type="pct"/>
                </w:tcPr>
                <w:p w14:paraId="72FF4584"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461AC36D"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0BC80AC9"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8" w:type="pct"/>
                </w:tcPr>
                <w:p w14:paraId="145280DD"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3C264878"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357" w:type="pct"/>
                </w:tcPr>
                <w:p w14:paraId="23B7078D"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c>
                <w:tcPr>
                  <w:tcW w:w="408" w:type="pct"/>
                </w:tcPr>
                <w:p w14:paraId="3FA96B8A" w14:textId="77777777" w:rsidR="00FC5D20" w:rsidRPr="00F709CE" w:rsidRDefault="00FC5D20" w:rsidP="00FC5D20">
                  <w:pPr>
                    <w:jc w:val="right"/>
                    <w:rPr>
                      <w:rFonts w:ascii="Calibri" w:hAnsi="Calibri" w:cs="Times New Roman"/>
                      <w:sz w:val="16"/>
                      <w:szCs w:val="16"/>
                      <w:lang w:eastAsia="en-GB"/>
                    </w:rPr>
                  </w:pPr>
                  <w:r w:rsidRPr="00F709CE">
                    <w:rPr>
                      <w:rFonts w:ascii="Calibri" w:hAnsi="Calibri" w:cs="Times New Roman"/>
                      <w:sz w:val="16"/>
                      <w:szCs w:val="16"/>
                      <w:lang w:eastAsia="en-GB"/>
                    </w:rPr>
                    <w:t>0</w:t>
                  </w:r>
                </w:p>
              </w:tc>
            </w:tr>
          </w:tbl>
          <w:p w14:paraId="372CF464" w14:textId="77777777" w:rsidR="00FC5D20" w:rsidRPr="00FC5D20" w:rsidRDefault="00FC5D20" w:rsidP="00FC5D20">
            <w:pPr>
              <w:shd w:val="clear" w:color="auto" w:fill="FFFFFF"/>
              <w:spacing w:after="160" w:line="259" w:lineRule="auto"/>
              <w:rPr>
                <w:rFonts w:ascii="Calibri" w:hAnsi="Calibri" w:cs="Times New Roman"/>
                <w:b/>
                <w:sz w:val="18"/>
                <w:szCs w:val="18"/>
                <w:lang w:eastAsia="en-GB"/>
              </w:rPr>
            </w:pPr>
          </w:p>
          <w:p w14:paraId="5EF4423D" w14:textId="77777777" w:rsidR="00FC5D20" w:rsidRDefault="00FC5D20" w:rsidP="00FC5D20">
            <w:pPr>
              <w:rPr>
                <w:sz w:val="18"/>
                <w:szCs w:val="18"/>
              </w:rPr>
            </w:pPr>
          </w:p>
          <w:p w14:paraId="6645356A" w14:textId="77777777" w:rsidR="00FC5D20" w:rsidRDefault="00FC5D20" w:rsidP="00FC5D20">
            <w:pPr>
              <w:rPr>
                <w:sz w:val="18"/>
                <w:szCs w:val="18"/>
              </w:rPr>
            </w:pPr>
          </w:p>
        </w:tc>
      </w:tr>
      <w:tr w:rsidR="00FC5D20" w:rsidRPr="004E3F12" w14:paraId="0BC7643A" w14:textId="77777777" w:rsidTr="00846407">
        <w:tc>
          <w:tcPr>
            <w:tcW w:w="1063" w:type="pct"/>
            <w:shd w:val="clear" w:color="auto" w:fill="FFFFFF" w:themeFill="background1"/>
          </w:tcPr>
          <w:p w14:paraId="0D469B83" w14:textId="04805873" w:rsidR="00FC5D20" w:rsidRPr="004E3F12" w:rsidRDefault="00FC5D20" w:rsidP="00FC5D20">
            <w:pPr>
              <w:rPr>
                <w:sz w:val="18"/>
                <w:szCs w:val="18"/>
              </w:rPr>
            </w:pPr>
            <w:r>
              <w:rPr>
                <w:sz w:val="18"/>
                <w:szCs w:val="18"/>
              </w:rPr>
              <w:lastRenderedPageBreak/>
              <w:t>M&amp;E and impact assessment budgets</w:t>
            </w:r>
          </w:p>
        </w:tc>
        <w:tc>
          <w:tcPr>
            <w:tcW w:w="2936" w:type="pct"/>
            <w:shd w:val="clear" w:color="auto" w:fill="FFFFFF" w:themeFill="background1"/>
          </w:tcPr>
          <w:p w14:paraId="35F00ECA" w14:textId="77777777" w:rsidR="00FC5D20" w:rsidRDefault="00FC5D20" w:rsidP="00FC5D20">
            <w:pPr>
              <w:rPr>
                <w:sz w:val="18"/>
                <w:szCs w:val="18"/>
              </w:rPr>
            </w:pPr>
            <w:r>
              <w:rPr>
                <w:sz w:val="18"/>
                <w:szCs w:val="18"/>
              </w:rPr>
              <w:t>The table providing a summary of M&amp;E and impact assessment costs in the harmonized format agreed by the CRP directors and the SMO is in the row below.</w:t>
            </w:r>
          </w:p>
          <w:p w14:paraId="0FC64C38" w14:textId="77777777" w:rsidR="00FC5D20" w:rsidRDefault="00FC5D20" w:rsidP="00FC5D20">
            <w:pPr>
              <w:rPr>
                <w:sz w:val="18"/>
                <w:szCs w:val="18"/>
              </w:rPr>
            </w:pPr>
          </w:p>
          <w:p w14:paraId="557418E6" w14:textId="77777777" w:rsidR="00FC5D20" w:rsidRDefault="00FC5D20" w:rsidP="00FC5D20">
            <w:pPr>
              <w:rPr>
                <w:sz w:val="18"/>
                <w:szCs w:val="18"/>
              </w:rPr>
            </w:pPr>
            <w:r>
              <w:rPr>
                <w:sz w:val="18"/>
                <w:szCs w:val="18"/>
              </w:rPr>
              <w:t>By using this approach and using the definition of impact assessment explained in the table, the total investment in impact assessment has been adjusted upward to an average USD 845k per year.</w:t>
            </w:r>
          </w:p>
          <w:p w14:paraId="68C8A8DC" w14:textId="3FA84872" w:rsidR="00FC5D20" w:rsidRPr="0055574C" w:rsidRDefault="00FC5D20" w:rsidP="00FC5D20">
            <w:pPr>
              <w:rPr>
                <w:sz w:val="18"/>
                <w:szCs w:val="18"/>
                <w:highlight w:val="yellow"/>
              </w:rPr>
            </w:pPr>
          </w:p>
        </w:tc>
        <w:tc>
          <w:tcPr>
            <w:tcW w:w="1001" w:type="pct"/>
            <w:shd w:val="clear" w:color="auto" w:fill="FFFFFF" w:themeFill="background1"/>
          </w:tcPr>
          <w:p w14:paraId="61EC0E43" w14:textId="5C06DED7" w:rsidR="00FC5D20" w:rsidRDefault="00FC5D20" w:rsidP="00FC5D20">
            <w:pPr>
              <w:rPr>
                <w:sz w:val="18"/>
                <w:szCs w:val="18"/>
              </w:rPr>
            </w:pPr>
            <w:r>
              <w:rPr>
                <w:sz w:val="18"/>
                <w:szCs w:val="18"/>
              </w:rPr>
              <w:t xml:space="preserve">Table 1.1.6 </w:t>
            </w:r>
            <w:r w:rsidR="00813D64">
              <w:rPr>
                <w:sz w:val="18"/>
                <w:szCs w:val="18"/>
              </w:rPr>
              <w:t xml:space="preserve">(page 51) </w:t>
            </w:r>
            <w:r>
              <w:rPr>
                <w:sz w:val="18"/>
                <w:szCs w:val="18"/>
              </w:rPr>
              <w:t>in the CRP budget narrative in the main CRP proposal has been changed to reflect the adjusted estimate of investment in impact assessment. This amount has also been updated in the online tool.</w:t>
            </w:r>
          </w:p>
          <w:p w14:paraId="37EC10F5" w14:textId="77777777" w:rsidR="00FC5D20" w:rsidRDefault="00FC5D20" w:rsidP="00FC5D20">
            <w:pPr>
              <w:rPr>
                <w:sz w:val="18"/>
                <w:szCs w:val="18"/>
              </w:rPr>
            </w:pPr>
          </w:p>
          <w:p w14:paraId="76536111" w14:textId="77777777" w:rsidR="00FC5D20" w:rsidRDefault="00FC5D20" w:rsidP="00FC5D20">
            <w:pPr>
              <w:rPr>
                <w:sz w:val="18"/>
                <w:szCs w:val="18"/>
              </w:rPr>
            </w:pPr>
            <w:r>
              <w:rPr>
                <w:sz w:val="18"/>
                <w:szCs w:val="18"/>
              </w:rPr>
              <w:t>The tables below have been inserted after Table 1.1.6 in the CRP budget narrative and labelled as Tables 1.1.6a and 1.1.6b.</w:t>
            </w:r>
          </w:p>
          <w:p w14:paraId="77BFAFC0" w14:textId="77777777" w:rsidR="00FC5D20" w:rsidRPr="004E3F12" w:rsidRDefault="00FC5D20" w:rsidP="00FC5D20">
            <w:pPr>
              <w:rPr>
                <w:sz w:val="18"/>
                <w:szCs w:val="18"/>
              </w:rPr>
            </w:pPr>
          </w:p>
          <w:p w14:paraId="7502E991" w14:textId="77777777" w:rsidR="00FC5D20" w:rsidRPr="004E3F12" w:rsidRDefault="00FC5D20" w:rsidP="00FC5D20">
            <w:pPr>
              <w:rPr>
                <w:sz w:val="18"/>
                <w:szCs w:val="18"/>
                <w:highlight w:val="cyan"/>
              </w:rPr>
            </w:pPr>
          </w:p>
        </w:tc>
      </w:tr>
      <w:tr w:rsidR="00950B74" w:rsidRPr="004E3F12" w14:paraId="3BB14004" w14:textId="77777777" w:rsidTr="00950B74">
        <w:tc>
          <w:tcPr>
            <w:tcW w:w="5000" w:type="pct"/>
            <w:gridSpan w:val="3"/>
            <w:shd w:val="clear" w:color="auto" w:fill="FFFFFF" w:themeFill="background1"/>
          </w:tcPr>
          <w:p w14:paraId="6AE4E26C" w14:textId="77777777" w:rsidR="00950B74" w:rsidRDefault="00950B74" w:rsidP="00FC5D20">
            <w:pPr>
              <w:rPr>
                <w:sz w:val="18"/>
                <w:szCs w:val="18"/>
              </w:rPr>
            </w:pPr>
          </w:p>
          <w:p w14:paraId="7427EF1A" w14:textId="77777777" w:rsidR="00950B74" w:rsidRPr="00846407" w:rsidRDefault="00950B74" w:rsidP="00950B74">
            <w:pPr>
              <w:shd w:val="clear" w:color="auto" w:fill="FFFFFF"/>
              <w:spacing w:after="160" w:line="259" w:lineRule="auto"/>
              <w:rPr>
                <w:rFonts w:ascii="Calibri" w:hAnsi="Calibri" w:cs="Times New Roman"/>
                <w:sz w:val="18"/>
                <w:szCs w:val="18"/>
                <w:lang w:eastAsia="en-GB"/>
              </w:rPr>
            </w:pPr>
            <w:r w:rsidRPr="00846407">
              <w:rPr>
                <w:rFonts w:ascii="Calibri" w:hAnsi="Calibri" w:cs="Times New Roman"/>
                <w:sz w:val="18"/>
                <w:szCs w:val="18"/>
                <w:lang w:eastAsia="en-GB"/>
              </w:rPr>
              <w:t>Table 1.1.6a. Amount dedicated to M&amp;E and Impact Assessment in the CRP budget</w:t>
            </w:r>
          </w:p>
          <w:tbl>
            <w:tblPr>
              <w:tblStyle w:val="TableGrid"/>
              <w:tblW w:w="5000" w:type="pct"/>
              <w:tblLook w:val="04A0" w:firstRow="1" w:lastRow="0" w:firstColumn="1" w:lastColumn="0" w:noHBand="0" w:noVBand="1"/>
            </w:tblPr>
            <w:tblGrid>
              <w:gridCol w:w="2529"/>
              <w:gridCol w:w="1149"/>
              <w:gridCol w:w="1433"/>
              <w:gridCol w:w="1433"/>
              <w:gridCol w:w="1433"/>
              <w:gridCol w:w="1435"/>
              <w:gridCol w:w="1433"/>
              <w:gridCol w:w="1433"/>
              <w:gridCol w:w="1444"/>
            </w:tblGrid>
            <w:tr w:rsidR="00950B74" w:rsidRPr="006C53A0" w14:paraId="43DE96BB" w14:textId="77777777" w:rsidTr="00950B74">
              <w:trPr>
                <w:trHeight w:val="212"/>
              </w:trPr>
              <w:tc>
                <w:tcPr>
                  <w:tcW w:w="922" w:type="pct"/>
                  <w:vMerge w:val="restart"/>
                </w:tcPr>
                <w:p w14:paraId="3B0CA10C" w14:textId="77777777" w:rsidR="00950B74" w:rsidRPr="006C53A0" w:rsidRDefault="00950B74" w:rsidP="00950B74">
                  <w:pPr>
                    <w:rPr>
                      <w:rFonts w:cs="Times New Roman"/>
                      <w:b/>
                      <w:sz w:val="16"/>
                      <w:szCs w:val="16"/>
                      <w:lang w:eastAsia="en-GB"/>
                    </w:rPr>
                  </w:pPr>
                </w:p>
                <w:p w14:paraId="6E8B12B6" w14:textId="77777777" w:rsidR="00950B74" w:rsidRPr="006C53A0" w:rsidRDefault="00950B74" w:rsidP="00950B74">
                  <w:pPr>
                    <w:rPr>
                      <w:rFonts w:cs="Times New Roman"/>
                      <w:b/>
                      <w:sz w:val="16"/>
                      <w:szCs w:val="16"/>
                      <w:lang w:eastAsia="en-GB"/>
                    </w:rPr>
                  </w:pPr>
                  <w:r w:rsidRPr="006C53A0">
                    <w:rPr>
                      <w:rFonts w:cs="Times New Roman"/>
                      <w:b/>
                      <w:sz w:val="16"/>
                      <w:szCs w:val="16"/>
                      <w:lang w:eastAsia="en-GB"/>
                    </w:rPr>
                    <w:t>M&amp;E investments</w:t>
                  </w:r>
                </w:p>
              </w:tc>
              <w:tc>
                <w:tcPr>
                  <w:tcW w:w="419" w:type="pct"/>
                </w:tcPr>
                <w:p w14:paraId="6859C9A6" w14:textId="77777777" w:rsidR="00950B74" w:rsidRPr="006C53A0" w:rsidRDefault="00950B74" w:rsidP="00950B74">
                  <w:pPr>
                    <w:rPr>
                      <w:rFonts w:cs="Times New Roman"/>
                      <w:sz w:val="16"/>
                      <w:szCs w:val="16"/>
                      <w:lang w:eastAsia="en-GB"/>
                    </w:rPr>
                  </w:pPr>
                </w:p>
              </w:tc>
              <w:tc>
                <w:tcPr>
                  <w:tcW w:w="3659" w:type="pct"/>
                  <w:gridSpan w:val="7"/>
                </w:tcPr>
                <w:p w14:paraId="5799D71F"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AMOUNT BUDGETED</w:t>
                  </w:r>
                </w:p>
              </w:tc>
            </w:tr>
            <w:tr w:rsidR="00950B74" w:rsidRPr="006C53A0" w14:paraId="30A0883A" w14:textId="77777777" w:rsidTr="00950B74">
              <w:trPr>
                <w:trHeight w:val="222"/>
              </w:trPr>
              <w:tc>
                <w:tcPr>
                  <w:tcW w:w="922" w:type="pct"/>
                  <w:vMerge/>
                </w:tcPr>
                <w:p w14:paraId="4D494EF0" w14:textId="77777777" w:rsidR="00950B74" w:rsidRPr="006C53A0" w:rsidRDefault="00950B74" w:rsidP="00950B74">
                  <w:pPr>
                    <w:rPr>
                      <w:rFonts w:cs="Times New Roman"/>
                      <w:sz w:val="16"/>
                      <w:szCs w:val="16"/>
                      <w:lang w:eastAsia="en-GB"/>
                    </w:rPr>
                  </w:pPr>
                </w:p>
              </w:tc>
              <w:tc>
                <w:tcPr>
                  <w:tcW w:w="419" w:type="pct"/>
                </w:tcPr>
                <w:p w14:paraId="10662036" w14:textId="77777777" w:rsidR="00950B74" w:rsidRPr="006C53A0" w:rsidRDefault="00950B74" w:rsidP="00950B74">
                  <w:pPr>
                    <w:rPr>
                      <w:rFonts w:cs="Times New Roman"/>
                      <w:sz w:val="16"/>
                      <w:szCs w:val="16"/>
                      <w:lang w:eastAsia="en-GB"/>
                    </w:rPr>
                  </w:pPr>
                </w:p>
              </w:tc>
              <w:tc>
                <w:tcPr>
                  <w:tcW w:w="522" w:type="pct"/>
                </w:tcPr>
                <w:p w14:paraId="38EE74FC"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2017</w:t>
                  </w:r>
                </w:p>
              </w:tc>
              <w:tc>
                <w:tcPr>
                  <w:tcW w:w="522" w:type="pct"/>
                </w:tcPr>
                <w:p w14:paraId="2F0AB852"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2018</w:t>
                  </w:r>
                </w:p>
              </w:tc>
              <w:tc>
                <w:tcPr>
                  <w:tcW w:w="522" w:type="pct"/>
                </w:tcPr>
                <w:p w14:paraId="494DF449"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2019</w:t>
                  </w:r>
                </w:p>
              </w:tc>
              <w:tc>
                <w:tcPr>
                  <w:tcW w:w="523" w:type="pct"/>
                </w:tcPr>
                <w:p w14:paraId="4EA16DD5"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2020</w:t>
                  </w:r>
                </w:p>
              </w:tc>
              <w:tc>
                <w:tcPr>
                  <w:tcW w:w="522" w:type="pct"/>
                </w:tcPr>
                <w:p w14:paraId="21FF7200"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2021</w:t>
                  </w:r>
                </w:p>
              </w:tc>
              <w:tc>
                <w:tcPr>
                  <w:tcW w:w="522" w:type="pct"/>
                </w:tcPr>
                <w:p w14:paraId="5FC539DF"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2022</w:t>
                  </w:r>
                </w:p>
              </w:tc>
              <w:tc>
                <w:tcPr>
                  <w:tcW w:w="525" w:type="pct"/>
                </w:tcPr>
                <w:p w14:paraId="2C4A11FB" w14:textId="77777777" w:rsidR="00950B74" w:rsidRPr="006C53A0" w:rsidRDefault="00950B74" w:rsidP="00950B74">
                  <w:pPr>
                    <w:jc w:val="center"/>
                    <w:rPr>
                      <w:rFonts w:cs="Times New Roman"/>
                      <w:b/>
                      <w:sz w:val="16"/>
                      <w:szCs w:val="16"/>
                      <w:lang w:eastAsia="en-GB"/>
                    </w:rPr>
                  </w:pPr>
                  <w:r w:rsidRPr="006C53A0">
                    <w:rPr>
                      <w:rFonts w:cs="Times New Roman"/>
                      <w:b/>
                      <w:sz w:val="16"/>
                      <w:szCs w:val="16"/>
                      <w:lang w:eastAsia="en-GB"/>
                    </w:rPr>
                    <w:t>6-year Total</w:t>
                  </w:r>
                </w:p>
              </w:tc>
            </w:tr>
            <w:tr w:rsidR="00950B74" w:rsidRPr="006C53A0" w14:paraId="324B6DAB" w14:textId="77777777" w:rsidTr="00950B74">
              <w:trPr>
                <w:trHeight w:val="424"/>
              </w:trPr>
              <w:tc>
                <w:tcPr>
                  <w:tcW w:w="922" w:type="pct"/>
                </w:tcPr>
                <w:p w14:paraId="1996DBD6" w14:textId="77777777" w:rsidR="00950B74" w:rsidRPr="006C53A0" w:rsidRDefault="00950B74" w:rsidP="00950B74">
                  <w:pPr>
                    <w:rPr>
                      <w:rFonts w:cs="Times New Roman"/>
                      <w:b/>
                      <w:sz w:val="16"/>
                      <w:szCs w:val="16"/>
                      <w:lang w:eastAsia="en-GB"/>
                    </w:rPr>
                  </w:pPr>
                  <w:r w:rsidRPr="006C53A0">
                    <w:rPr>
                      <w:rFonts w:cs="Times New Roman"/>
                      <w:b/>
                      <w:sz w:val="16"/>
                      <w:szCs w:val="16"/>
                      <w:lang w:eastAsia="en-GB"/>
                    </w:rPr>
                    <w:t>M&amp;E (including impact assessment)</w:t>
                  </w:r>
                </w:p>
              </w:tc>
              <w:tc>
                <w:tcPr>
                  <w:tcW w:w="419" w:type="pct"/>
                </w:tcPr>
                <w:p w14:paraId="4B7C4E26" w14:textId="77777777" w:rsidR="00950B74" w:rsidRPr="006C53A0" w:rsidRDefault="00950B74" w:rsidP="00950B74">
                  <w:pPr>
                    <w:rPr>
                      <w:rFonts w:cs="Times New Roman"/>
                      <w:sz w:val="16"/>
                      <w:szCs w:val="16"/>
                      <w:lang w:eastAsia="en-GB"/>
                    </w:rPr>
                  </w:pPr>
                  <w:proofErr w:type="spellStart"/>
                  <w:r w:rsidRPr="006C53A0">
                    <w:rPr>
                      <w:rFonts w:cs="Times New Roman"/>
                      <w:sz w:val="16"/>
                      <w:szCs w:val="16"/>
                      <w:lang w:eastAsia="en-GB"/>
                    </w:rPr>
                    <w:t>SubTotal</w:t>
                  </w:r>
                  <w:proofErr w:type="spellEnd"/>
                </w:p>
              </w:tc>
              <w:tc>
                <w:tcPr>
                  <w:tcW w:w="522" w:type="pct"/>
                  <w:vAlign w:val="bottom"/>
                </w:tcPr>
                <w:p w14:paraId="7ACEE47D"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1,399,625 </w:t>
                  </w:r>
                </w:p>
              </w:tc>
              <w:tc>
                <w:tcPr>
                  <w:tcW w:w="522" w:type="pct"/>
                  <w:vAlign w:val="bottom"/>
                </w:tcPr>
                <w:p w14:paraId="6E2083B2"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1,469,606 </w:t>
                  </w:r>
                </w:p>
              </w:tc>
              <w:tc>
                <w:tcPr>
                  <w:tcW w:w="522" w:type="pct"/>
                  <w:vAlign w:val="bottom"/>
                </w:tcPr>
                <w:p w14:paraId="70694044"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1,102,087 </w:t>
                  </w:r>
                </w:p>
              </w:tc>
              <w:tc>
                <w:tcPr>
                  <w:tcW w:w="523" w:type="pct"/>
                  <w:vAlign w:val="bottom"/>
                </w:tcPr>
                <w:p w14:paraId="10D3739B"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1,598,191 </w:t>
                  </w:r>
                </w:p>
              </w:tc>
              <w:tc>
                <w:tcPr>
                  <w:tcW w:w="522" w:type="pct"/>
                  <w:vAlign w:val="bottom"/>
                </w:tcPr>
                <w:p w14:paraId="1B06C160"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1,215,050 </w:t>
                  </w:r>
                </w:p>
              </w:tc>
              <w:tc>
                <w:tcPr>
                  <w:tcW w:w="522" w:type="pct"/>
                  <w:vAlign w:val="bottom"/>
                </w:tcPr>
                <w:p w14:paraId="6D353EF6"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1,275,803 </w:t>
                  </w:r>
                </w:p>
              </w:tc>
              <w:tc>
                <w:tcPr>
                  <w:tcW w:w="525" w:type="pct"/>
                  <w:vAlign w:val="bottom"/>
                </w:tcPr>
                <w:p w14:paraId="2EBD6153"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8,060,362 </w:t>
                  </w:r>
                </w:p>
              </w:tc>
            </w:tr>
            <w:tr w:rsidR="00950B74" w:rsidRPr="006C53A0" w14:paraId="0ECBE559" w14:textId="77777777" w:rsidTr="00950B74">
              <w:trPr>
                <w:trHeight w:val="212"/>
              </w:trPr>
              <w:tc>
                <w:tcPr>
                  <w:tcW w:w="922" w:type="pct"/>
                </w:tcPr>
                <w:p w14:paraId="12BAFBA9"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the MSC budget</w:t>
                  </w:r>
                </w:p>
              </w:tc>
              <w:tc>
                <w:tcPr>
                  <w:tcW w:w="419" w:type="pct"/>
                </w:tcPr>
                <w:p w14:paraId="2A554143"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23B56A07"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369,625 </w:t>
                  </w:r>
                </w:p>
              </w:tc>
              <w:tc>
                <w:tcPr>
                  <w:tcW w:w="522" w:type="pct"/>
                  <w:vAlign w:val="bottom"/>
                </w:tcPr>
                <w:p w14:paraId="01B15B59"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388,106 </w:t>
                  </w:r>
                </w:p>
              </w:tc>
              <w:tc>
                <w:tcPr>
                  <w:tcW w:w="522" w:type="pct"/>
                  <w:vAlign w:val="bottom"/>
                </w:tcPr>
                <w:p w14:paraId="0C0A1FC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407,512 </w:t>
                  </w:r>
                </w:p>
              </w:tc>
              <w:tc>
                <w:tcPr>
                  <w:tcW w:w="523" w:type="pct"/>
                  <w:vAlign w:val="bottom"/>
                </w:tcPr>
                <w:p w14:paraId="7B71E2D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427,887 </w:t>
                  </w:r>
                </w:p>
              </w:tc>
              <w:tc>
                <w:tcPr>
                  <w:tcW w:w="522" w:type="pct"/>
                  <w:vAlign w:val="bottom"/>
                </w:tcPr>
                <w:p w14:paraId="5B18693A"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449,281 </w:t>
                  </w:r>
                </w:p>
              </w:tc>
              <w:tc>
                <w:tcPr>
                  <w:tcW w:w="522" w:type="pct"/>
                  <w:vAlign w:val="bottom"/>
                </w:tcPr>
                <w:p w14:paraId="5289AEDC"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471,746 </w:t>
                  </w:r>
                </w:p>
              </w:tc>
              <w:tc>
                <w:tcPr>
                  <w:tcW w:w="525" w:type="pct"/>
                  <w:vAlign w:val="bottom"/>
                </w:tcPr>
                <w:p w14:paraId="07061121"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2,514,157 </w:t>
                  </w:r>
                </w:p>
              </w:tc>
            </w:tr>
            <w:tr w:rsidR="00950B74" w:rsidRPr="006C53A0" w14:paraId="1278DEEF" w14:textId="77777777" w:rsidTr="00950B74">
              <w:trPr>
                <w:trHeight w:val="424"/>
              </w:trPr>
              <w:tc>
                <w:tcPr>
                  <w:tcW w:w="922" w:type="pct"/>
                </w:tcPr>
                <w:p w14:paraId="3F2A5050"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the Competitive Grants Fund</w:t>
                  </w:r>
                </w:p>
              </w:tc>
              <w:tc>
                <w:tcPr>
                  <w:tcW w:w="419" w:type="pct"/>
                </w:tcPr>
                <w:p w14:paraId="5557E3C1"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27C94306"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720,000 </w:t>
                  </w:r>
                </w:p>
              </w:tc>
              <w:tc>
                <w:tcPr>
                  <w:tcW w:w="522" w:type="pct"/>
                  <w:vAlign w:val="bottom"/>
                </w:tcPr>
                <w:p w14:paraId="6F1D03D6"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756,000 </w:t>
                  </w:r>
                </w:p>
              </w:tc>
              <w:tc>
                <w:tcPr>
                  <w:tcW w:w="522" w:type="pct"/>
                  <w:vAlign w:val="bottom"/>
                </w:tcPr>
                <w:p w14:paraId="47290D9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352,800 </w:t>
                  </w:r>
                </w:p>
              </w:tc>
              <w:tc>
                <w:tcPr>
                  <w:tcW w:w="523" w:type="pct"/>
                  <w:vAlign w:val="bottom"/>
                </w:tcPr>
                <w:p w14:paraId="0CFB6CF1"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811,440 </w:t>
                  </w:r>
                </w:p>
              </w:tc>
              <w:tc>
                <w:tcPr>
                  <w:tcW w:w="522" w:type="pct"/>
                  <w:vAlign w:val="bottom"/>
                </w:tcPr>
                <w:p w14:paraId="248F228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388,962 </w:t>
                  </w:r>
                </w:p>
              </w:tc>
              <w:tc>
                <w:tcPr>
                  <w:tcW w:w="522" w:type="pct"/>
                  <w:vAlign w:val="bottom"/>
                </w:tcPr>
                <w:p w14:paraId="222C921A"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408,410 </w:t>
                  </w:r>
                </w:p>
              </w:tc>
              <w:tc>
                <w:tcPr>
                  <w:tcW w:w="525" w:type="pct"/>
                  <w:vAlign w:val="bottom"/>
                </w:tcPr>
                <w:p w14:paraId="22EDA8FE"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3,437,612 </w:t>
                  </w:r>
                </w:p>
              </w:tc>
            </w:tr>
            <w:tr w:rsidR="00950B74" w:rsidRPr="006C53A0" w14:paraId="06EF1E2A" w14:textId="77777777" w:rsidTr="00950B74">
              <w:trPr>
                <w:trHeight w:val="212"/>
              </w:trPr>
              <w:tc>
                <w:tcPr>
                  <w:tcW w:w="922" w:type="pct"/>
                </w:tcPr>
                <w:p w14:paraId="420D3551"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flagship budgets</w:t>
                  </w:r>
                </w:p>
              </w:tc>
              <w:tc>
                <w:tcPr>
                  <w:tcW w:w="419" w:type="pct"/>
                </w:tcPr>
                <w:p w14:paraId="0FC32AA3"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4D476A42"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310,000 </w:t>
                  </w:r>
                </w:p>
              </w:tc>
              <w:tc>
                <w:tcPr>
                  <w:tcW w:w="522" w:type="pct"/>
                  <w:vAlign w:val="bottom"/>
                </w:tcPr>
                <w:p w14:paraId="47C444E9"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325,500 </w:t>
                  </w:r>
                </w:p>
              </w:tc>
              <w:tc>
                <w:tcPr>
                  <w:tcW w:w="522" w:type="pct"/>
                  <w:vAlign w:val="bottom"/>
                </w:tcPr>
                <w:p w14:paraId="4F947DCE"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341,775 </w:t>
                  </w:r>
                </w:p>
              </w:tc>
              <w:tc>
                <w:tcPr>
                  <w:tcW w:w="523" w:type="pct"/>
                  <w:vAlign w:val="bottom"/>
                </w:tcPr>
                <w:p w14:paraId="0EAB158A"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358,864 </w:t>
                  </w:r>
                </w:p>
              </w:tc>
              <w:tc>
                <w:tcPr>
                  <w:tcW w:w="522" w:type="pct"/>
                  <w:vAlign w:val="bottom"/>
                </w:tcPr>
                <w:p w14:paraId="5466107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376,807 </w:t>
                  </w:r>
                </w:p>
              </w:tc>
              <w:tc>
                <w:tcPr>
                  <w:tcW w:w="522" w:type="pct"/>
                  <w:vAlign w:val="bottom"/>
                </w:tcPr>
                <w:p w14:paraId="6A92B46B"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395,647 </w:t>
                  </w:r>
                </w:p>
              </w:tc>
              <w:tc>
                <w:tcPr>
                  <w:tcW w:w="525" w:type="pct"/>
                  <w:vAlign w:val="bottom"/>
                </w:tcPr>
                <w:p w14:paraId="19204B22"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2,108,593 </w:t>
                  </w:r>
                </w:p>
              </w:tc>
            </w:tr>
            <w:tr w:rsidR="00950B74" w:rsidRPr="006C53A0" w14:paraId="1AE1FBA8" w14:textId="77777777" w:rsidTr="00950B74">
              <w:trPr>
                <w:trHeight w:val="212"/>
              </w:trPr>
              <w:tc>
                <w:tcPr>
                  <w:tcW w:w="922" w:type="pct"/>
                </w:tcPr>
                <w:p w14:paraId="1E64D753" w14:textId="77777777" w:rsidR="00950B74" w:rsidRPr="006C53A0" w:rsidRDefault="00950B74" w:rsidP="00950B74">
                  <w:pPr>
                    <w:rPr>
                      <w:rFonts w:cs="Times New Roman"/>
                      <w:sz w:val="16"/>
                      <w:szCs w:val="16"/>
                      <w:lang w:eastAsia="en-GB"/>
                    </w:rPr>
                  </w:pPr>
                </w:p>
              </w:tc>
              <w:tc>
                <w:tcPr>
                  <w:tcW w:w="419" w:type="pct"/>
                </w:tcPr>
                <w:p w14:paraId="1DA5491F" w14:textId="77777777" w:rsidR="00950B74" w:rsidRPr="006C53A0" w:rsidRDefault="00950B74" w:rsidP="00950B74">
                  <w:pPr>
                    <w:rPr>
                      <w:rFonts w:cs="Times New Roman"/>
                      <w:sz w:val="16"/>
                      <w:szCs w:val="16"/>
                      <w:lang w:eastAsia="en-GB"/>
                    </w:rPr>
                  </w:pPr>
                </w:p>
              </w:tc>
              <w:tc>
                <w:tcPr>
                  <w:tcW w:w="522" w:type="pct"/>
                </w:tcPr>
                <w:p w14:paraId="68F2E60D" w14:textId="77777777" w:rsidR="00950B74" w:rsidRPr="006C53A0" w:rsidRDefault="00950B74" w:rsidP="00950B74">
                  <w:pPr>
                    <w:jc w:val="right"/>
                    <w:rPr>
                      <w:rFonts w:cs="Times New Roman"/>
                      <w:sz w:val="16"/>
                      <w:szCs w:val="16"/>
                      <w:lang w:eastAsia="en-GB"/>
                    </w:rPr>
                  </w:pPr>
                </w:p>
              </w:tc>
              <w:tc>
                <w:tcPr>
                  <w:tcW w:w="522" w:type="pct"/>
                </w:tcPr>
                <w:p w14:paraId="49707EFA" w14:textId="77777777" w:rsidR="00950B74" w:rsidRPr="006C53A0" w:rsidRDefault="00950B74" w:rsidP="00950B74">
                  <w:pPr>
                    <w:jc w:val="right"/>
                    <w:rPr>
                      <w:rFonts w:cs="Times New Roman"/>
                      <w:sz w:val="16"/>
                      <w:szCs w:val="16"/>
                      <w:lang w:eastAsia="en-GB"/>
                    </w:rPr>
                  </w:pPr>
                </w:p>
              </w:tc>
              <w:tc>
                <w:tcPr>
                  <w:tcW w:w="522" w:type="pct"/>
                </w:tcPr>
                <w:p w14:paraId="7BC41921" w14:textId="77777777" w:rsidR="00950B74" w:rsidRPr="006C53A0" w:rsidRDefault="00950B74" w:rsidP="00950B74">
                  <w:pPr>
                    <w:jc w:val="right"/>
                    <w:rPr>
                      <w:rFonts w:cs="Times New Roman"/>
                      <w:sz w:val="16"/>
                      <w:szCs w:val="16"/>
                      <w:lang w:eastAsia="en-GB"/>
                    </w:rPr>
                  </w:pPr>
                </w:p>
              </w:tc>
              <w:tc>
                <w:tcPr>
                  <w:tcW w:w="523" w:type="pct"/>
                </w:tcPr>
                <w:p w14:paraId="2D04FECD" w14:textId="77777777" w:rsidR="00950B74" w:rsidRPr="006C53A0" w:rsidRDefault="00950B74" w:rsidP="00950B74">
                  <w:pPr>
                    <w:jc w:val="right"/>
                    <w:rPr>
                      <w:rFonts w:cs="Times New Roman"/>
                      <w:sz w:val="16"/>
                      <w:szCs w:val="16"/>
                      <w:lang w:eastAsia="en-GB"/>
                    </w:rPr>
                  </w:pPr>
                </w:p>
              </w:tc>
              <w:tc>
                <w:tcPr>
                  <w:tcW w:w="522" w:type="pct"/>
                </w:tcPr>
                <w:p w14:paraId="33AFC308" w14:textId="77777777" w:rsidR="00950B74" w:rsidRPr="006C53A0" w:rsidRDefault="00950B74" w:rsidP="00950B74">
                  <w:pPr>
                    <w:jc w:val="right"/>
                    <w:rPr>
                      <w:rFonts w:cs="Times New Roman"/>
                      <w:sz w:val="16"/>
                      <w:szCs w:val="16"/>
                      <w:lang w:eastAsia="en-GB"/>
                    </w:rPr>
                  </w:pPr>
                </w:p>
              </w:tc>
              <w:tc>
                <w:tcPr>
                  <w:tcW w:w="522" w:type="pct"/>
                </w:tcPr>
                <w:p w14:paraId="78D9EB76" w14:textId="77777777" w:rsidR="00950B74" w:rsidRPr="006C53A0" w:rsidRDefault="00950B74" w:rsidP="00950B74">
                  <w:pPr>
                    <w:jc w:val="right"/>
                    <w:rPr>
                      <w:rFonts w:cs="Times New Roman"/>
                      <w:sz w:val="16"/>
                      <w:szCs w:val="16"/>
                      <w:lang w:eastAsia="en-GB"/>
                    </w:rPr>
                  </w:pPr>
                </w:p>
              </w:tc>
              <w:tc>
                <w:tcPr>
                  <w:tcW w:w="525" w:type="pct"/>
                </w:tcPr>
                <w:p w14:paraId="5B2AFABD" w14:textId="77777777" w:rsidR="00950B74" w:rsidRPr="006C53A0" w:rsidRDefault="00950B74" w:rsidP="00950B74">
                  <w:pPr>
                    <w:jc w:val="right"/>
                    <w:rPr>
                      <w:rFonts w:cs="Times New Roman"/>
                      <w:sz w:val="16"/>
                      <w:szCs w:val="16"/>
                      <w:lang w:eastAsia="en-GB"/>
                    </w:rPr>
                  </w:pPr>
                </w:p>
              </w:tc>
            </w:tr>
            <w:tr w:rsidR="00950B74" w:rsidRPr="006C53A0" w14:paraId="3595474F" w14:textId="77777777" w:rsidTr="00950B74">
              <w:trPr>
                <w:trHeight w:val="212"/>
              </w:trPr>
              <w:tc>
                <w:tcPr>
                  <w:tcW w:w="922" w:type="pct"/>
                </w:tcPr>
                <w:p w14:paraId="6A800B15" w14:textId="77777777" w:rsidR="00950B74" w:rsidRPr="006C53A0" w:rsidRDefault="00950B74" w:rsidP="00950B74">
                  <w:pPr>
                    <w:rPr>
                      <w:rFonts w:cs="Times New Roman"/>
                      <w:b/>
                      <w:sz w:val="16"/>
                      <w:szCs w:val="16"/>
                      <w:lang w:eastAsia="en-GB"/>
                    </w:rPr>
                  </w:pPr>
                  <w:r w:rsidRPr="006C53A0">
                    <w:rPr>
                      <w:rFonts w:cs="Times New Roman"/>
                      <w:b/>
                      <w:sz w:val="16"/>
                      <w:szCs w:val="16"/>
                      <w:lang w:eastAsia="en-GB"/>
                    </w:rPr>
                    <w:lastRenderedPageBreak/>
                    <w:t>Impact assessment</w:t>
                  </w:r>
                </w:p>
              </w:tc>
              <w:tc>
                <w:tcPr>
                  <w:tcW w:w="419" w:type="pct"/>
                </w:tcPr>
                <w:p w14:paraId="4D362787" w14:textId="77777777" w:rsidR="00950B74" w:rsidRPr="006C53A0" w:rsidRDefault="00950B74" w:rsidP="00950B74">
                  <w:pPr>
                    <w:rPr>
                      <w:rFonts w:cs="Times New Roman"/>
                      <w:sz w:val="16"/>
                      <w:szCs w:val="16"/>
                      <w:lang w:eastAsia="en-GB"/>
                    </w:rPr>
                  </w:pPr>
                  <w:proofErr w:type="spellStart"/>
                  <w:r w:rsidRPr="006C53A0">
                    <w:rPr>
                      <w:rFonts w:cs="Times New Roman"/>
                      <w:sz w:val="16"/>
                      <w:szCs w:val="16"/>
                      <w:lang w:eastAsia="en-GB"/>
                    </w:rPr>
                    <w:t>SubTotal</w:t>
                  </w:r>
                  <w:proofErr w:type="spellEnd"/>
                </w:p>
              </w:tc>
              <w:tc>
                <w:tcPr>
                  <w:tcW w:w="522" w:type="pct"/>
                  <w:vAlign w:val="bottom"/>
                </w:tcPr>
                <w:p w14:paraId="31974C65"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960,000 </w:t>
                  </w:r>
                </w:p>
              </w:tc>
              <w:tc>
                <w:tcPr>
                  <w:tcW w:w="522" w:type="pct"/>
                  <w:vAlign w:val="bottom"/>
                </w:tcPr>
                <w:p w14:paraId="145A9D2E"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1,008,000 </w:t>
                  </w:r>
                </w:p>
              </w:tc>
              <w:tc>
                <w:tcPr>
                  <w:tcW w:w="522" w:type="pct"/>
                  <w:vAlign w:val="bottom"/>
                </w:tcPr>
                <w:p w14:paraId="734CA30F"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617,400 </w:t>
                  </w:r>
                </w:p>
              </w:tc>
              <w:tc>
                <w:tcPr>
                  <w:tcW w:w="523" w:type="pct"/>
                  <w:vAlign w:val="bottom"/>
                </w:tcPr>
                <w:p w14:paraId="5E185CE0"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1,089,270 </w:t>
                  </w:r>
                </w:p>
              </w:tc>
              <w:tc>
                <w:tcPr>
                  <w:tcW w:w="522" w:type="pct"/>
                  <w:vAlign w:val="bottom"/>
                </w:tcPr>
                <w:p w14:paraId="67AFE2E7"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680,684 </w:t>
                  </w:r>
                </w:p>
              </w:tc>
              <w:tc>
                <w:tcPr>
                  <w:tcW w:w="522" w:type="pct"/>
                  <w:vAlign w:val="bottom"/>
                </w:tcPr>
                <w:p w14:paraId="61A0967A"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714,718 </w:t>
                  </w:r>
                </w:p>
              </w:tc>
              <w:tc>
                <w:tcPr>
                  <w:tcW w:w="525" w:type="pct"/>
                  <w:vAlign w:val="bottom"/>
                </w:tcPr>
                <w:p w14:paraId="68B9A900" w14:textId="77777777" w:rsidR="00950B74" w:rsidRPr="006C53A0" w:rsidRDefault="00950B74" w:rsidP="00950B74">
                  <w:pPr>
                    <w:jc w:val="right"/>
                    <w:rPr>
                      <w:rFonts w:cs="Times New Roman"/>
                      <w:sz w:val="16"/>
                      <w:szCs w:val="16"/>
                      <w:lang w:eastAsia="en-GB"/>
                    </w:rPr>
                  </w:pPr>
                  <w:r w:rsidRPr="006C53A0">
                    <w:rPr>
                      <w:rFonts w:eastAsia="Times New Roman" w:cs="Times New Roman"/>
                      <w:b/>
                      <w:bCs/>
                      <w:sz w:val="16"/>
                      <w:szCs w:val="16"/>
                      <w:lang w:eastAsia="en-GB"/>
                    </w:rPr>
                    <w:t xml:space="preserve"> 5,070,071 </w:t>
                  </w:r>
                </w:p>
              </w:tc>
            </w:tr>
            <w:tr w:rsidR="00950B74" w:rsidRPr="006C53A0" w14:paraId="3E18D99B" w14:textId="77777777" w:rsidTr="00950B74">
              <w:trPr>
                <w:trHeight w:val="212"/>
              </w:trPr>
              <w:tc>
                <w:tcPr>
                  <w:tcW w:w="922" w:type="pct"/>
                </w:tcPr>
                <w:p w14:paraId="3ADD612A"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the MSC budget</w:t>
                  </w:r>
                </w:p>
              </w:tc>
              <w:tc>
                <w:tcPr>
                  <w:tcW w:w="419" w:type="pct"/>
                </w:tcPr>
                <w:p w14:paraId="59E55C53"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4F13D4B6"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2" w:type="pct"/>
                  <w:vAlign w:val="bottom"/>
                </w:tcPr>
                <w:p w14:paraId="46D42DEC"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2" w:type="pct"/>
                  <w:vAlign w:val="bottom"/>
                </w:tcPr>
                <w:p w14:paraId="54F28E79"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3" w:type="pct"/>
                  <w:vAlign w:val="bottom"/>
                </w:tcPr>
                <w:p w14:paraId="7850ACB1"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2" w:type="pct"/>
                  <w:vAlign w:val="bottom"/>
                </w:tcPr>
                <w:p w14:paraId="49FE025A"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2" w:type="pct"/>
                  <w:vAlign w:val="bottom"/>
                </w:tcPr>
                <w:p w14:paraId="30AD20DF"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c>
                <w:tcPr>
                  <w:tcW w:w="525" w:type="pct"/>
                  <w:vAlign w:val="bottom"/>
                </w:tcPr>
                <w:p w14:paraId="7CD2CD3F" w14:textId="77777777" w:rsidR="00950B74" w:rsidRPr="006C53A0" w:rsidRDefault="00950B74" w:rsidP="00950B74">
                  <w:pPr>
                    <w:jc w:val="right"/>
                    <w:rPr>
                      <w:rFonts w:cs="Times New Roman"/>
                      <w:sz w:val="16"/>
                      <w:szCs w:val="16"/>
                      <w:lang w:eastAsia="en-GB"/>
                    </w:rPr>
                  </w:pPr>
                  <w:r w:rsidRPr="006C53A0">
                    <w:rPr>
                      <w:rFonts w:cs="Times New Roman"/>
                      <w:sz w:val="16"/>
                      <w:szCs w:val="16"/>
                      <w:lang w:eastAsia="en-GB"/>
                    </w:rPr>
                    <w:t>0</w:t>
                  </w:r>
                </w:p>
              </w:tc>
            </w:tr>
            <w:tr w:rsidR="00950B74" w:rsidRPr="006C53A0" w14:paraId="4BB8DC49" w14:textId="77777777" w:rsidTr="00950B74">
              <w:trPr>
                <w:trHeight w:val="424"/>
              </w:trPr>
              <w:tc>
                <w:tcPr>
                  <w:tcW w:w="922" w:type="pct"/>
                </w:tcPr>
                <w:p w14:paraId="5A60E28D"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the Competitive Grants Fund</w:t>
                  </w:r>
                </w:p>
              </w:tc>
              <w:tc>
                <w:tcPr>
                  <w:tcW w:w="419" w:type="pct"/>
                </w:tcPr>
                <w:p w14:paraId="51E033DB"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21324355"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700,000 </w:t>
                  </w:r>
                </w:p>
              </w:tc>
              <w:tc>
                <w:tcPr>
                  <w:tcW w:w="522" w:type="pct"/>
                  <w:vAlign w:val="bottom"/>
                </w:tcPr>
                <w:p w14:paraId="204DE780"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735,000 </w:t>
                  </w:r>
                </w:p>
              </w:tc>
              <w:tc>
                <w:tcPr>
                  <w:tcW w:w="522" w:type="pct"/>
                  <w:vAlign w:val="bottom"/>
                </w:tcPr>
                <w:p w14:paraId="67B6E83F"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330,750 </w:t>
                  </w:r>
                </w:p>
              </w:tc>
              <w:tc>
                <w:tcPr>
                  <w:tcW w:w="523" w:type="pct"/>
                  <w:vAlign w:val="bottom"/>
                </w:tcPr>
                <w:p w14:paraId="6EF8B56A"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788,288 </w:t>
                  </w:r>
                </w:p>
              </w:tc>
              <w:tc>
                <w:tcPr>
                  <w:tcW w:w="522" w:type="pct"/>
                  <w:vAlign w:val="bottom"/>
                </w:tcPr>
                <w:p w14:paraId="56549F5D"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364,652 </w:t>
                  </w:r>
                </w:p>
              </w:tc>
              <w:tc>
                <w:tcPr>
                  <w:tcW w:w="522" w:type="pct"/>
                  <w:vAlign w:val="bottom"/>
                </w:tcPr>
                <w:p w14:paraId="0772965E"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382,884 </w:t>
                  </w:r>
                </w:p>
              </w:tc>
              <w:tc>
                <w:tcPr>
                  <w:tcW w:w="525" w:type="pct"/>
                  <w:vAlign w:val="bottom"/>
                </w:tcPr>
                <w:p w14:paraId="51FF56FC"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3,301,574 </w:t>
                  </w:r>
                </w:p>
              </w:tc>
            </w:tr>
            <w:tr w:rsidR="00950B74" w:rsidRPr="006C53A0" w14:paraId="41E46BAA" w14:textId="77777777" w:rsidTr="00950B74">
              <w:trPr>
                <w:trHeight w:val="212"/>
              </w:trPr>
              <w:tc>
                <w:tcPr>
                  <w:tcW w:w="922" w:type="pct"/>
                </w:tcPr>
                <w:p w14:paraId="0DE7B517"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 xml:space="preserve"> Under flagship budgets</w:t>
                  </w:r>
                </w:p>
              </w:tc>
              <w:tc>
                <w:tcPr>
                  <w:tcW w:w="419" w:type="pct"/>
                </w:tcPr>
                <w:p w14:paraId="0D1ADB4C" w14:textId="77777777" w:rsidR="00950B74" w:rsidRPr="006C53A0" w:rsidRDefault="00950B74" w:rsidP="00950B74">
                  <w:pPr>
                    <w:rPr>
                      <w:rFonts w:cs="Times New Roman"/>
                      <w:sz w:val="16"/>
                      <w:szCs w:val="16"/>
                      <w:lang w:eastAsia="en-GB"/>
                    </w:rPr>
                  </w:pPr>
                  <w:r w:rsidRPr="006C53A0">
                    <w:rPr>
                      <w:rFonts w:cs="Times New Roman"/>
                      <w:sz w:val="16"/>
                      <w:szCs w:val="16"/>
                      <w:lang w:eastAsia="en-GB"/>
                    </w:rPr>
                    <w:t>Amount:</w:t>
                  </w:r>
                </w:p>
              </w:tc>
              <w:tc>
                <w:tcPr>
                  <w:tcW w:w="522" w:type="pct"/>
                  <w:vAlign w:val="bottom"/>
                </w:tcPr>
                <w:p w14:paraId="5A5B9EF7" w14:textId="77777777" w:rsidR="00950B74" w:rsidRPr="006C53A0" w:rsidRDefault="00950B74" w:rsidP="00950B74">
                  <w:pPr>
                    <w:tabs>
                      <w:tab w:val="left" w:pos="528"/>
                    </w:tabs>
                    <w:jc w:val="right"/>
                    <w:rPr>
                      <w:rFonts w:cs="Times New Roman"/>
                      <w:sz w:val="16"/>
                      <w:szCs w:val="16"/>
                      <w:lang w:eastAsia="en-GB"/>
                    </w:rPr>
                  </w:pPr>
                  <w:r w:rsidRPr="006C53A0">
                    <w:rPr>
                      <w:rFonts w:eastAsia="Times New Roman" w:cs="Times New Roman"/>
                      <w:bCs/>
                      <w:sz w:val="16"/>
                      <w:szCs w:val="16"/>
                      <w:lang w:eastAsia="en-GB"/>
                    </w:rPr>
                    <w:t xml:space="preserve"> 260,000 </w:t>
                  </w:r>
                </w:p>
              </w:tc>
              <w:tc>
                <w:tcPr>
                  <w:tcW w:w="522" w:type="pct"/>
                  <w:vAlign w:val="bottom"/>
                </w:tcPr>
                <w:p w14:paraId="07EE57F4"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273,000 </w:t>
                  </w:r>
                </w:p>
              </w:tc>
              <w:tc>
                <w:tcPr>
                  <w:tcW w:w="522" w:type="pct"/>
                  <w:vAlign w:val="bottom"/>
                </w:tcPr>
                <w:p w14:paraId="5DB0E688"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286,650 </w:t>
                  </w:r>
                </w:p>
              </w:tc>
              <w:tc>
                <w:tcPr>
                  <w:tcW w:w="523" w:type="pct"/>
                  <w:vAlign w:val="bottom"/>
                </w:tcPr>
                <w:p w14:paraId="6688E6C4"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300,983 </w:t>
                  </w:r>
                </w:p>
              </w:tc>
              <w:tc>
                <w:tcPr>
                  <w:tcW w:w="522" w:type="pct"/>
                  <w:vAlign w:val="bottom"/>
                </w:tcPr>
                <w:p w14:paraId="2D09D49B"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316,032 </w:t>
                  </w:r>
                </w:p>
              </w:tc>
              <w:tc>
                <w:tcPr>
                  <w:tcW w:w="522" w:type="pct"/>
                  <w:vAlign w:val="bottom"/>
                </w:tcPr>
                <w:p w14:paraId="6D2E0B42"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331,833 </w:t>
                  </w:r>
                </w:p>
              </w:tc>
              <w:tc>
                <w:tcPr>
                  <w:tcW w:w="525" w:type="pct"/>
                  <w:vAlign w:val="bottom"/>
                </w:tcPr>
                <w:p w14:paraId="1A72D1B9" w14:textId="77777777" w:rsidR="00950B74" w:rsidRPr="006C53A0" w:rsidRDefault="00950B74" w:rsidP="00950B74">
                  <w:pPr>
                    <w:jc w:val="right"/>
                    <w:rPr>
                      <w:rFonts w:cs="Times New Roman"/>
                      <w:sz w:val="16"/>
                      <w:szCs w:val="16"/>
                      <w:lang w:eastAsia="en-GB"/>
                    </w:rPr>
                  </w:pPr>
                  <w:r w:rsidRPr="006C53A0">
                    <w:rPr>
                      <w:rFonts w:eastAsia="Times New Roman" w:cs="Times New Roman"/>
                      <w:bCs/>
                      <w:sz w:val="16"/>
                      <w:szCs w:val="16"/>
                      <w:lang w:eastAsia="en-GB"/>
                    </w:rPr>
                    <w:t xml:space="preserve"> 1,768,497 </w:t>
                  </w:r>
                </w:p>
              </w:tc>
            </w:tr>
            <w:tr w:rsidR="00950B74" w:rsidRPr="006C53A0" w14:paraId="0F2C0654" w14:textId="77777777" w:rsidTr="00950B74">
              <w:trPr>
                <w:trHeight w:val="200"/>
              </w:trPr>
              <w:tc>
                <w:tcPr>
                  <w:tcW w:w="922" w:type="pct"/>
                </w:tcPr>
                <w:p w14:paraId="73034134" w14:textId="77777777" w:rsidR="00950B74" w:rsidRPr="006C53A0" w:rsidRDefault="00950B74" w:rsidP="00950B74">
                  <w:pPr>
                    <w:rPr>
                      <w:rFonts w:cs="Times New Roman"/>
                      <w:sz w:val="16"/>
                      <w:szCs w:val="16"/>
                      <w:lang w:eastAsia="en-GB"/>
                    </w:rPr>
                  </w:pPr>
                </w:p>
              </w:tc>
              <w:tc>
                <w:tcPr>
                  <w:tcW w:w="419" w:type="pct"/>
                </w:tcPr>
                <w:p w14:paraId="5EE97009" w14:textId="77777777" w:rsidR="00950B74" w:rsidRPr="006C53A0" w:rsidRDefault="00950B74" w:rsidP="00950B74">
                  <w:pPr>
                    <w:rPr>
                      <w:rFonts w:cs="Times New Roman"/>
                      <w:sz w:val="16"/>
                      <w:szCs w:val="16"/>
                      <w:lang w:eastAsia="en-GB"/>
                    </w:rPr>
                  </w:pPr>
                </w:p>
              </w:tc>
              <w:tc>
                <w:tcPr>
                  <w:tcW w:w="522" w:type="pct"/>
                </w:tcPr>
                <w:p w14:paraId="3C7BE4C2" w14:textId="77777777" w:rsidR="00950B74" w:rsidRPr="006C53A0" w:rsidRDefault="00950B74" w:rsidP="00950B74">
                  <w:pPr>
                    <w:rPr>
                      <w:rFonts w:cs="Times New Roman"/>
                      <w:sz w:val="16"/>
                      <w:szCs w:val="16"/>
                      <w:lang w:eastAsia="en-GB"/>
                    </w:rPr>
                  </w:pPr>
                </w:p>
              </w:tc>
              <w:tc>
                <w:tcPr>
                  <w:tcW w:w="522" w:type="pct"/>
                </w:tcPr>
                <w:p w14:paraId="7803B7FF" w14:textId="77777777" w:rsidR="00950B74" w:rsidRPr="006C53A0" w:rsidRDefault="00950B74" w:rsidP="00950B74">
                  <w:pPr>
                    <w:rPr>
                      <w:rFonts w:cs="Times New Roman"/>
                      <w:sz w:val="16"/>
                      <w:szCs w:val="16"/>
                      <w:lang w:eastAsia="en-GB"/>
                    </w:rPr>
                  </w:pPr>
                </w:p>
              </w:tc>
              <w:tc>
                <w:tcPr>
                  <w:tcW w:w="522" w:type="pct"/>
                </w:tcPr>
                <w:p w14:paraId="41B6A374" w14:textId="77777777" w:rsidR="00950B74" w:rsidRPr="006C53A0" w:rsidRDefault="00950B74" w:rsidP="00950B74">
                  <w:pPr>
                    <w:rPr>
                      <w:rFonts w:cs="Times New Roman"/>
                      <w:sz w:val="16"/>
                      <w:szCs w:val="16"/>
                      <w:lang w:eastAsia="en-GB"/>
                    </w:rPr>
                  </w:pPr>
                </w:p>
              </w:tc>
              <w:tc>
                <w:tcPr>
                  <w:tcW w:w="523" w:type="pct"/>
                </w:tcPr>
                <w:p w14:paraId="16A96FB0" w14:textId="77777777" w:rsidR="00950B74" w:rsidRPr="006C53A0" w:rsidRDefault="00950B74" w:rsidP="00950B74">
                  <w:pPr>
                    <w:rPr>
                      <w:rFonts w:cs="Times New Roman"/>
                      <w:sz w:val="16"/>
                      <w:szCs w:val="16"/>
                      <w:lang w:eastAsia="en-GB"/>
                    </w:rPr>
                  </w:pPr>
                </w:p>
              </w:tc>
              <w:tc>
                <w:tcPr>
                  <w:tcW w:w="522" w:type="pct"/>
                </w:tcPr>
                <w:p w14:paraId="7D2E5E8B" w14:textId="77777777" w:rsidR="00950B74" w:rsidRPr="006C53A0" w:rsidRDefault="00950B74" w:rsidP="00950B74">
                  <w:pPr>
                    <w:rPr>
                      <w:rFonts w:cs="Times New Roman"/>
                      <w:sz w:val="16"/>
                      <w:szCs w:val="16"/>
                      <w:lang w:eastAsia="en-GB"/>
                    </w:rPr>
                  </w:pPr>
                </w:p>
              </w:tc>
              <w:tc>
                <w:tcPr>
                  <w:tcW w:w="522" w:type="pct"/>
                </w:tcPr>
                <w:p w14:paraId="76EDEFC1" w14:textId="77777777" w:rsidR="00950B74" w:rsidRPr="006C53A0" w:rsidRDefault="00950B74" w:rsidP="00950B74">
                  <w:pPr>
                    <w:rPr>
                      <w:rFonts w:cs="Times New Roman"/>
                      <w:sz w:val="16"/>
                      <w:szCs w:val="16"/>
                      <w:lang w:eastAsia="en-GB"/>
                    </w:rPr>
                  </w:pPr>
                </w:p>
              </w:tc>
              <w:tc>
                <w:tcPr>
                  <w:tcW w:w="525" w:type="pct"/>
                </w:tcPr>
                <w:p w14:paraId="2113C9A8" w14:textId="77777777" w:rsidR="00950B74" w:rsidRPr="006C53A0" w:rsidRDefault="00950B74" w:rsidP="00950B74">
                  <w:pPr>
                    <w:rPr>
                      <w:rFonts w:cs="Times New Roman"/>
                      <w:sz w:val="16"/>
                      <w:szCs w:val="16"/>
                      <w:lang w:eastAsia="en-GB"/>
                    </w:rPr>
                  </w:pPr>
                </w:p>
              </w:tc>
            </w:tr>
          </w:tbl>
          <w:p w14:paraId="26FB8541" w14:textId="77777777" w:rsidR="00950B74" w:rsidRPr="00846407" w:rsidRDefault="00950B74" w:rsidP="00950B74">
            <w:pPr>
              <w:shd w:val="clear" w:color="auto" w:fill="FFFFFF"/>
              <w:spacing w:after="160" w:line="259" w:lineRule="auto"/>
              <w:rPr>
                <w:rFonts w:ascii="Calibri" w:hAnsi="Calibri" w:cs="Times New Roman"/>
                <w:sz w:val="18"/>
                <w:szCs w:val="18"/>
                <w:lang w:eastAsia="en-GB"/>
              </w:rPr>
            </w:pPr>
          </w:p>
          <w:p w14:paraId="1A33E60F" w14:textId="77777777" w:rsidR="00950B74" w:rsidRPr="00846407" w:rsidRDefault="00950B74" w:rsidP="00950B74">
            <w:pPr>
              <w:shd w:val="clear" w:color="auto" w:fill="FFFFFF"/>
              <w:spacing w:after="160" w:line="259" w:lineRule="auto"/>
              <w:rPr>
                <w:rFonts w:ascii="Calibri" w:hAnsi="Calibri" w:cs="Times New Roman"/>
                <w:sz w:val="18"/>
                <w:szCs w:val="18"/>
                <w:lang w:eastAsia="en-GB"/>
              </w:rPr>
            </w:pPr>
            <w:r w:rsidRPr="00846407">
              <w:rPr>
                <w:rFonts w:ascii="Calibri" w:hAnsi="Calibri" w:cs="Times New Roman"/>
                <w:sz w:val="18"/>
                <w:szCs w:val="18"/>
                <w:lang w:eastAsia="en-GB"/>
              </w:rPr>
              <w:t>Table 1.1.6b. Explanation of the definitions used for the types of costs/activities included under each category</w:t>
            </w:r>
          </w:p>
          <w:tbl>
            <w:tblPr>
              <w:tblStyle w:val="TableGrid"/>
              <w:tblW w:w="5000" w:type="pct"/>
              <w:tblLook w:val="04A0" w:firstRow="1" w:lastRow="0" w:firstColumn="1" w:lastColumn="0" w:noHBand="0" w:noVBand="1"/>
            </w:tblPr>
            <w:tblGrid>
              <w:gridCol w:w="2739"/>
              <w:gridCol w:w="10983"/>
            </w:tblGrid>
            <w:tr w:rsidR="00950B74" w:rsidRPr="001F3275" w14:paraId="6C0B7E16" w14:textId="77777777" w:rsidTr="00950B74">
              <w:tc>
                <w:tcPr>
                  <w:tcW w:w="998" w:type="pct"/>
                </w:tcPr>
                <w:p w14:paraId="540D7FF3" w14:textId="77777777" w:rsidR="00950B74" w:rsidRPr="001F3275" w:rsidRDefault="00950B74" w:rsidP="00950B74">
                  <w:pPr>
                    <w:rPr>
                      <w:rFonts w:ascii="Calibri" w:hAnsi="Calibri" w:cs="Times New Roman"/>
                      <w:b/>
                      <w:sz w:val="18"/>
                      <w:szCs w:val="18"/>
                      <w:lang w:eastAsia="en-GB"/>
                    </w:rPr>
                  </w:pPr>
                  <w:r w:rsidRPr="001F3275">
                    <w:rPr>
                      <w:rFonts w:ascii="Calibri" w:hAnsi="Calibri" w:cs="Times New Roman"/>
                      <w:b/>
                      <w:sz w:val="18"/>
                      <w:szCs w:val="18"/>
                      <w:lang w:eastAsia="en-GB"/>
                    </w:rPr>
                    <w:t>M&amp;E</w:t>
                  </w:r>
                </w:p>
              </w:tc>
              <w:tc>
                <w:tcPr>
                  <w:tcW w:w="4002" w:type="pct"/>
                </w:tcPr>
                <w:p w14:paraId="24F27774" w14:textId="77777777" w:rsidR="00950B74" w:rsidRPr="001F3275" w:rsidRDefault="00950B74" w:rsidP="00950B74">
                  <w:pPr>
                    <w:rPr>
                      <w:rFonts w:ascii="Calibri" w:hAnsi="Calibri" w:cs="Times New Roman"/>
                      <w:sz w:val="18"/>
                      <w:szCs w:val="18"/>
                      <w:lang w:eastAsia="en-GB"/>
                    </w:rPr>
                  </w:pPr>
                  <w:r>
                    <w:rPr>
                      <w:rFonts w:ascii="Calibri" w:hAnsi="Calibri" w:cs="Times New Roman"/>
                      <w:sz w:val="18"/>
                      <w:szCs w:val="18"/>
                      <w:lang w:eastAsia="en-GB"/>
                    </w:rPr>
                    <w:t>The</w:t>
                  </w:r>
                  <w:r w:rsidRPr="001F3275">
                    <w:rPr>
                      <w:rFonts w:ascii="Calibri" w:hAnsi="Calibri" w:cs="Times New Roman"/>
                      <w:sz w:val="18"/>
                      <w:szCs w:val="18"/>
                      <w:lang w:eastAsia="en-GB"/>
                    </w:rPr>
                    <w:t xml:space="preserve"> CRP defines M&amp;E to include: </w:t>
                  </w:r>
                </w:p>
                <w:p w14:paraId="04DD5F62"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Establishing and maintaining an online system for planning and reporting that includes activities, budget, deliverables and a performance indicator database</w:t>
                  </w:r>
                </w:p>
                <w:p w14:paraId="3BA0D598"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 xml:space="preserve">Establishing and monitoring CRP </w:t>
                  </w:r>
                  <w:proofErr w:type="spellStart"/>
                  <w:r w:rsidRPr="001F3275">
                    <w:rPr>
                      <w:rFonts w:ascii="Calibri" w:hAnsi="Calibri" w:cs="Times New Roman"/>
                      <w:sz w:val="18"/>
                      <w:szCs w:val="18"/>
                      <w:lang w:eastAsia="en-GB"/>
                    </w:rPr>
                    <w:t>ToC</w:t>
                  </w:r>
                  <w:proofErr w:type="spellEnd"/>
                  <w:r w:rsidRPr="001F3275">
                    <w:rPr>
                      <w:rFonts w:ascii="Calibri" w:hAnsi="Calibri" w:cs="Times New Roman"/>
                      <w:sz w:val="18"/>
                      <w:szCs w:val="18"/>
                      <w:lang w:eastAsia="en-GB"/>
                    </w:rPr>
                    <w:t xml:space="preserve"> and Flagship </w:t>
                  </w:r>
                  <w:proofErr w:type="spellStart"/>
                  <w:r w:rsidRPr="001F3275">
                    <w:rPr>
                      <w:rFonts w:ascii="Calibri" w:hAnsi="Calibri" w:cs="Times New Roman"/>
                      <w:sz w:val="18"/>
                      <w:szCs w:val="18"/>
                      <w:lang w:eastAsia="en-GB"/>
                    </w:rPr>
                    <w:t>ToC</w:t>
                  </w:r>
                  <w:proofErr w:type="spellEnd"/>
                  <w:r w:rsidRPr="001F3275">
                    <w:rPr>
                      <w:rFonts w:ascii="Calibri" w:hAnsi="Calibri" w:cs="Times New Roman"/>
                      <w:sz w:val="18"/>
                      <w:szCs w:val="18"/>
                      <w:lang w:eastAsia="en-GB"/>
                    </w:rPr>
                    <w:t>, Strategy &amp; Implementation Plans (e.g. milestones), Annual Plan of Work &amp; Budget</w:t>
                  </w:r>
                </w:p>
                <w:p w14:paraId="242EFB64"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Planning and implementing baseline surveys and studies</w:t>
                  </w:r>
                </w:p>
                <w:p w14:paraId="396EF6A2"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 xml:space="preserve">Establishing and maintaining our </w:t>
                  </w:r>
                  <w:proofErr w:type="spellStart"/>
                  <w:r w:rsidRPr="001F3275">
                    <w:rPr>
                      <w:rFonts w:ascii="Calibri" w:hAnsi="Calibri" w:cs="Times New Roman"/>
                      <w:sz w:val="18"/>
                      <w:szCs w:val="18"/>
                      <w:lang w:eastAsia="en-GB"/>
                    </w:rPr>
                    <w:t>ToC</w:t>
                  </w:r>
                  <w:proofErr w:type="spellEnd"/>
                  <w:r w:rsidRPr="001F3275">
                    <w:rPr>
                      <w:rFonts w:ascii="Calibri" w:hAnsi="Calibri" w:cs="Times New Roman"/>
                      <w:sz w:val="18"/>
                      <w:szCs w:val="18"/>
                      <w:lang w:eastAsia="en-GB"/>
                    </w:rPr>
                    <w:t xml:space="preserve"> evidence base</w:t>
                  </w:r>
                </w:p>
                <w:p w14:paraId="70F86D61"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Change pathway monitoring</w:t>
                  </w:r>
                </w:p>
                <w:p w14:paraId="05891BDA"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CRP-level impact assessments, ex-ante and ex-post (see below)</w:t>
                  </w:r>
                </w:p>
                <w:p w14:paraId="77FE262D" w14:textId="77777777" w:rsidR="00950B74" w:rsidRPr="001F3275" w:rsidRDefault="00950B74" w:rsidP="00950B74">
                  <w:pPr>
                    <w:numPr>
                      <w:ilvl w:val="0"/>
                      <w:numId w:val="48"/>
                    </w:numPr>
                    <w:ind w:left="317" w:hanging="218"/>
                    <w:rPr>
                      <w:rFonts w:ascii="Calibri" w:hAnsi="Calibri" w:cs="Times New Roman"/>
                      <w:sz w:val="18"/>
                      <w:szCs w:val="18"/>
                      <w:lang w:eastAsia="en-GB"/>
                    </w:rPr>
                  </w:pPr>
                  <w:r w:rsidRPr="001F3275">
                    <w:rPr>
                      <w:rFonts w:ascii="Calibri" w:hAnsi="Calibri" w:cs="Times New Roman"/>
                      <w:sz w:val="18"/>
                      <w:szCs w:val="18"/>
                      <w:lang w:eastAsia="en-GB"/>
                    </w:rPr>
                    <w:t>External evaluations (CCEE, IEE, audits) are budgeted separately.</w:t>
                  </w:r>
                </w:p>
              </w:tc>
            </w:tr>
            <w:tr w:rsidR="00950B74" w:rsidRPr="001F3275" w14:paraId="4A80A888" w14:textId="77777777" w:rsidTr="00950B74">
              <w:tc>
                <w:tcPr>
                  <w:tcW w:w="998" w:type="pct"/>
                </w:tcPr>
                <w:p w14:paraId="0FF10802"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the MSC budget</w:t>
                  </w:r>
                </w:p>
              </w:tc>
              <w:tc>
                <w:tcPr>
                  <w:tcW w:w="4002" w:type="pct"/>
                </w:tcPr>
                <w:p w14:paraId="2CCCEB80"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 xml:space="preserve">Staff: part of the </w:t>
                  </w:r>
                  <w:proofErr w:type="spellStart"/>
                  <w:r w:rsidRPr="001F3275">
                    <w:rPr>
                      <w:rFonts w:ascii="Calibri" w:hAnsi="Calibri" w:cs="Times New Roman"/>
                      <w:sz w:val="18"/>
                      <w:szCs w:val="18"/>
                      <w:lang w:eastAsia="en-GB"/>
                    </w:rPr>
                    <w:t>ToR</w:t>
                  </w:r>
                  <w:proofErr w:type="spellEnd"/>
                  <w:r w:rsidRPr="001F3275">
                    <w:rPr>
                      <w:rFonts w:ascii="Calibri" w:hAnsi="Calibri" w:cs="Times New Roman"/>
                      <w:sz w:val="18"/>
                      <w:szCs w:val="18"/>
                      <w:lang w:eastAsia="en-GB"/>
                    </w:rPr>
                    <w:t xml:space="preserve"> of the Program Support Coordinator; M&amp;E specialists, Research Methods Group Leader, Evaluation Specialist, Research Quality Specialist</w:t>
                  </w:r>
                </w:p>
                <w:p w14:paraId="4C735EDF"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M&amp;E software system and its maintenance</w:t>
                  </w:r>
                </w:p>
                <w:p w14:paraId="010B74E5"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Baselines (if not specifically designed for an individual flagship)</w:t>
                  </w:r>
                </w:p>
                <w:p w14:paraId="2F902D8A"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Indicator data collection</w:t>
                  </w:r>
                </w:p>
                <w:p w14:paraId="492FD163"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Quality Assurance</w:t>
                  </w:r>
                </w:p>
              </w:tc>
            </w:tr>
            <w:tr w:rsidR="00950B74" w:rsidRPr="001F3275" w14:paraId="4ED8B606" w14:textId="77777777" w:rsidTr="00950B74">
              <w:tc>
                <w:tcPr>
                  <w:tcW w:w="998" w:type="pct"/>
                </w:tcPr>
                <w:p w14:paraId="44CE383B"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the Strategic Investment Fund</w:t>
                  </w:r>
                </w:p>
              </w:tc>
              <w:tc>
                <w:tcPr>
                  <w:tcW w:w="4002" w:type="pct"/>
                </w:tcPr>
                <w:p w14:paraId="36500C92"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Initial investment in M&amp;E system development and piloting</w:t>
                  </w:r>
                </w:p>
                <w:p w14:paraId="37FF0E69"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Commissioned ex-ante impact assessments</w:t>
                  </w:r>
                </w:p>
              </w:tc>
            </w:tr>
            <w:tr w:rsidR="00950B74" w:rsidRPr="001F3275" w14:paraId="421EB6C0" w14:textId="77777777" w:rsidTr="00950B74">
              <w:tc>
                <w:tcPr>
                  <w:tcW w:w="998" w:type="pct"/>
                </w:tcPr>
                <w:p w14:paraId="6ACBE2E3"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flagship budgets</w:t>
                  </w:r>
                </w:p>
              </w:tc>
              <w:tc>
                <w:tcPr>
                  <w:tcW w:w="4002" w:type="pct"/>
                </w:tcPr>
                <w:p w14:paraId="2ACC0F15"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Change pathway monitoring and reflection workshops</w:t>
                  </w:r>
                </w:p>
                <w:p w14:paraId="716B72C4" w14:textId="77777777" w:rsidR="00950B74" w:rsidRPr="001F3275" w:rsidRDefault="00950B74" w:rsidP="00950B74">
                  <w:pPr>
                    <w:numPr>
                      <w:ilvl w:val="0"/>
                      <w:numId w:val="49"/>
                    </w:numPr>
                    <w:ind w:left="317" w:hanging="218"/>
                    <w:rPr>
                      <w:rFonts w:ascii="Calibri" w:hAnsi="Calibri" w:cs="Times New Roman"/>
                      <w:sz w:val="18"/>
                      <w:szCs w:val="18"/>
                      <w:lang w:eastAsia="en-GB"/>
                    </w:rPr>
                  </w:pPr>
                  <w:r w:rsidRPr="001F3275">
                    <w:rPr>
                      <w:rFonts w:ascii="Calibri" w:hAnsi="Calibri" w:cs="Times New Roman"/>
                      <w:sz w:val="18"/>
                      <w:szCs w:val="18"/>
                      <w:lang w:eastAsia="en-GB"/>
                    </w:rPr>
                    <w:t>Flagship-specific ex-ante and ex-post impact assessments</w:t>
                  </w:r>
                </w:p>
              </w:tc>
            </w:tr>
            <w:tr w:rsidR="00950B74" w:rsidRPr="001F3275" w14:paraId="362B3BED" w14:textId="77777777" w:rsidTr="00950B74">
              <w:tc>
                <w:tcPr>
                  <w:tcW w:w="998" w:type="pct"/>
                </w:tcPr>
                <w:p w14:paraId="2F55ACCE" w14:textId="77777777" w:rsidR="00950B74" w:rsidRPr="001F3275" w:rsidRDefault="00950B74" w:rsidP="00950B74">
                  <w:pPr>
                    <w:rPr>
                      <w:rFonts w:ascii="Calibri" w:hAnsi="Calibri" w:cs="Times New Roman"/>
                      <w:sz w:val="18"/>
                      <w:szCs w:val="18"/>
                      <w:lang w:eastAsia="en-GB"/>
                    </w:rPr>
                  </w:pPr>
                </w:p>
              </w:tc>
              <w:tc>
                <w:tcPr>
                  <w:tcW w:w="4002" w:type="pct"/>
                </w:tcPr>
                <w:p w14:paraId="04D33880" w14:textId="77777777" w:rsidR="00950B74" w:rsidRPr="001F3275" w:rsidRDefault="00950B74" w:rsidP="00950B74">
                  <w:pPr>
                    <w:rPr>
                      <w:rFonts w:ascii="Calibri" w:hAnsi="Calibri" w:cs="Times New Roman"/>
                      <w:sz w:val="18"/>
                      <w:szCs w:val="18"/>
                      <w:lang w:eastAsia="en-GB"/>
                    </w:rPr>
                  </w:pPr>
                </w:p>
              </w:tc>
            </w:tr>
            <w:tr w:rsidR="00950B74" w:rsidRPr="001F3275" w14:paraId="011ED2C2" w14:textId="77777777" w:rsidTr="00950B74">
              <w:tc>
                <w:tcPr>
                  <w:tcW w:w="998" w:type="pct"/>
                </w:tcPr>
                <w:p w14:paraId="33A6BA21" w14:textId="77777777" w:rsidR="00950B74" w:rsidRPr="001F3275" w:rsidRDefault="00950B74" w:rsidP="00950B74">
                  <w:pPr>
                    <w:rPr>
                      <w:rFonts w:ascii="Calibri" w:hAnsi="Calibri" w:cs="Times New Roman"/>
                      <w:b/>
                      <w:sz w:val="18"/>
                      <w:szCs w:val="18"/>
                      <w:lang w:eastAsia="en-GB"/>
                    </w:rPr>
                  </w:pPr>
                  <w:r w:rsidRPr="001F3275">
                    <w:rPr>
                      <w:rFonts w:ascii="Calibri" w:hAnsi="Calibri" w:cs="Times New Roman"/>
                      <w:b/>
                      <w:sz w:val="18"/>
                      <w:szCs w:val="18"/>
                      <w:lang w:eastAsia="en-GB"/>
                    </w:rPr>
                    <w:t>Impact assessment</w:t>
                  </w:r>
                </w:p>
              </w:tc>
              <w:tc>
                <w:tcPr>
                  <w:tcW w:w="4002" w:type="pct"/>
                </w:tcPr>
                <w:p w14:paraId="1E3F6553" w14:textId="77777777" w:rsidR="00950B74" w:rsidRPr="001F3275" w:rsidRDefault="00950B74" w:rsidP="00950B74">
                  <w:pPr>
                    <w:rPr>
                      <w:rFonts w:ascii="Calibri" w:hAnsi="Calibri" w:cs="Times New Roman"/>
                      <w:sz w:val="18"/>
                      <w:szCs w:val="18"/>
                      <w:lang w:eastAsia="en-GB"/>
                    </w:rPr>
                  </w:pPr>
                  <w:r>
                    <w:rPr>
                      <w:rFonts w:ascii="Calibri" w:hAnsi="Calibri" w:cs="Times New Roman"/>
                      <w:sz w:val="18"/>
                      <w:szCs w:val="18"/>
                      <w:lang w:eastAsia="en-GB"/>
                    </w:rPr>
                    <w:t>The</w:t>
                  </w:r>
                  <w:r w:rsidRPr="001F3275">
                    <w:rPr>
                      <w:rFonts w:ascii="Calibri" w:hAnsi="Calibri" w:cs="Times New Roman"/>
                      <w:sz w:val="18"/>
                      <w:szCs w:val="18"/>
                      <w:lang w:eastAsia="en-GB"/>
                    </w:rPr>
                    <w:t xml:space="preserve"> CRP defines IA to include ex-ante impact assessment studies, adoption studies, </w:t>
                  </w:r>
                  <w:proofErr w:type="gramStart"/>
                  <w:r w:rsidRPr="001F3275">
                    <w:rPr>
                      <w:rFonts w:ascii="Calibri" w:hAnsi="Calibri" w:cs="Times New Roman"/>
                      <w:sz w:val="18"/>
                      <w:szCs w:val="18"/>
                      <w:lang w:eastAsia="en-GB"/>
                    </w:rPr>
                    <w:t>ex</w:t>
                  </w:r>
                  <w:proofErr w:type="gramEnd"/>
                  <w:r w:rsidRPr="001F3275">
                    <w:rPr>
                      <w:rFonts w:ascii="Calibri" w:hAnsi="Calibri" w:cs="Times New Roman"/>
                      <w:sz w:val="18"/>
                      <w:szCs w:val="18"/>
                      <w:lang w:eastAsia="en-GB"/>
                    </w:rPr>
                    <w:t>-post impact assessment studies. Ex-ante impact assessment may be at CRP level as part of foresight to inform prioritization; or may be specific to a given innovation and flagship. Adoption and ex-post impact assessment studies will be mainly to evaluate discrete innovations or interventions.</w:t>
                  </w:r>
                </w:p>
              </w:tc>
            </w:tr>
            <w:tr w:rsidR="00950B74" w:rsidRPr="001F3275" w14:paraId="6C24612D" w14:textId="77777777" w:rsidTr="00950B74">
              <w:tc>
                <w:tcPr>
                  <w:tcW w:w="998" w:type="pct"/>
                </w:tcPr>
                <w:p w14:paraId="16881965"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the MSC budget</w:t>
                  </w:r>
                </w:p>
              </w:tc>
              <w:tc>
                <w:tcPr>
                  <w:tcW w:w="4002" w:type="pct"/>
                </w:tcPr>
                <w:p w14:paraId="7E430504" w14:textId="77777777" w:rsidR="00950B74" w:rsidRPr="001F3275" w:rsidRDefault="00950B74" w:rsidP="00950B74">
                  <w:pPr>
                    <w:rPr>
                      <w:rFonts w:ascii="Calibri" w:hAnsi="Calibri" w:cs="Times New Roman"/>
                      <w:sz w:val="18"/>
                      <w:szCs w:val="18"/>
                      <w:lang w:eastAsia="en-GB"/>
                    </w:rPr>
                  </w:pPr>
                  <w:r w:rsidRPr="001F3275">
                    <w:rPr>
                      <w:rFonts w:ascii="Calibri" w:hAnsi="Calibri" w:cs="Times New Roman"/>
                      <w:sz w:val="18"/>
                      <w:szCs w:val="18"/>
                      <w:lang w:eastAsia="en-GB"/>
                    </w:rPr>
                    <w:t>Staff to oversee planning and quality assurance</w:t>
                  </w:r>
                </w:p>
              </w:tc>
            </w:tr>
            <w:tr w:rsidR="00950B74" w:rsidRPr="001F3275" w14:paraId="72E56DEF" w14:textId="77777777" w:rsidTr="00950B74">
              <w:tc>
                <w:tcPr>
                  <w:tcW w:w="998" w:type="pct"/>
                </w:tcPr>
                <w:p w14:paraId="4AB0E12D"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the Strategic Investment Fund</w:t>
                  </w:r>
                </w:p>
              </w:tc>
              <w:tc>
                <w:tcPr>
                  <w:tcW w:w="4002" w:type="pct"/>
                </w:tcPr>
                <w:p w14:paraId="7EBB4F7D" w14:textId="77777777" w:rsidR="00950B74" w:rsidRPr="001F3275" w:rsidRDefault="00950B74" w:rsidP="00950B74">
                  <w:pPr>
                    <w:rPr>
                      <w:rFonts w:ascii="Calibri" w:hAnsi="Calibri" w:cs="Times New Roman"/>
                      <w:sz w:val="18"/>
                      <w:szCs w:val="18"/>
                      <w:lang w:eastAsia="en-GB"/>
                    </w:rPr>
                  </w:pPr>
                  <w:r w:rsidRPr="001F3275">
                    <w:rPr>
                      <w:rFonts w:ascii="Calibri" w:hAnsi="Calibri" w:cs="Times New Roman"/>
                      <w:sz w:val="18"/>
                      <w:szCs w:val="18"/>
                      <w:lang w:eastAsia="en-GB"/>
                    </w:rPr>
                    <w:t>Commissioned CRP-level adoption studies, impact assessments; supplementing flagship impact assessments as needed</w:t>
                  </w:r>
                </w:p>
              </w:tc>
            </w:tr>
            <w:tr w:rsidR="00950B74" w:rsidRPr="001F3275" w14:paraId="195AEE7F" w14:textId="77777777" w:rsidTr="00950B74">
              <w:tc>
                <w:tcPr>
                  <w:tcW w:w="998" w:type="pct"/>
                </w:tcPr>
                <w:p w14:paraId="66B77005" w14:textId="77777777" w:rsidR="00950B74" w:rsidRPr="001F3275" w:rsidRDefault="00950B74" w:rsidP="00950B74">
                  <w:pPr>
                    <w:ind w:left="200"/>
                    <w:rPr>
                      <w:rFonts w:ascii="Calibri" w:hAnsi="Calibri" w:cs="Times New Roman"/>
                      <w:sz w:val="18"/>
                      <w:szCs w:val="18"/>
                      <w:lang w:eastAsia="en-GB"/>
                    </w:rPr>
                  </w:pPr>
                  <w:r w:rsidRPr="001F3275">
                    <w:rPr>
                      <w:rFonts w:ascii="Calibri" w:hAnsi="Calibri" w:cs="Times New Roman"/>
                      <w:sz w:val="18"/>
                      <w:szCs w:val="18"/>
                      <w:lang w:eastAsia="en-GB"/>
                    </w:rPr>
                    <w:t>Under flagship budgets</w:t>
                  </w:r>
                </w:p>
              </w:tc>
              <w:tc>
                <w:tcPr>
                  <w:tcW w:w="4002" w:type="pct"/>
                </w:tcPr>
                <w:p w14:paraId="265155F2" w14:textId="77777777" w:rsidR="00950B74" w:rsidRPr="001F3275" w:rsidRDefault="00950B74" w:rsidP="00950B74">
                  <w:pPr>
                    <w:rPr>
                      <w:rFonts w:ascii="Calibri" w:hAnsi="Calibri" w:cs="Times New Roman"/>
                      <w:sz w:val="18"/>
                      <w:szCs w:val="18"/>
                      <w:lang w:eastAsia="en-GB"/>
                    </w:rPr>
                  </w:pPr>
                  <w:r w:rsidRPr="001F3275">
                    <w:rPr>
                      <w:rFonts w:ascii="Calibri" w:hAnsi="Calibri" w:cs="Times New Roman"/>
                      <w:sz w:val="18"/>
                      <w:szCs w:val="18"/>
                      <w:lang w:eastAsia="en-GB"/>
                    </w:rPr>
                    <w:t>Flagship-specific adoption studies, impact assessments</w:t>
                  </w:r>
                </w:p>
              </w:tc>
            </w:tr>
          </w:tbl>
          <w:p w14:paraId="507C3FD9" w14:textId="77777777" w:rsidR="00950B74" w:rsidRPr="001F3275" w:rsidRDefault="00950B74" w:rsidP="00950B74">
            <w:pPr>
              <w:shd w:val="clear" w:color="auto" w:fill="FFFFFF"/>
              <w:spacing w:after="150" w:line="300" w:lineRule="atLeast"/>
              <w:rPr>
                <w:rFonts w:eastAsia="Times New Roman" w:cs="Times New Roman"/>
                <w:color w:val="000000"/>
              </w:rPr>
            </w:pPr>
          </w:p>
          <w:p w14:paraId="69CF31FB" w14:textId="77777777" w:rsidR="00950B74" w:rsidRDefault="00950B74" w:rsidP="00FC5D20">
            <w:pPr>
              <w:rPr>
                <w:sz w:val="18"/>
                <w:szCs w:val="18"/>
              </w:rPr>
            </w:pPr>
          </w:p>
          <w:p w14:paraId="4CBD67FD" w14:textId="77777777" w:rsidR="00950B74" w:rsidRDefault="00950B74" w:rsidP="00FC5D20">
            <w:pPr>
              <w:rPr>
                <w:sz w:val="18"/>
                <w:szCs w:val="18"/>
              </w:rPr>
            </w:pPr>
          </w:p>
          <w:p w14:paraId="194B2DC7" w14:textId="77777777" w:rsidR="00950B74" w:rsidRDefault="00950B74" w:rsidP="00FC5D20">
            <w:pPr>
              <w:rPr>
                <w:sz w:val="18"/>
                <w:szCs w:val="18"/>
              </w:rPr>
            </w:pPr>
          </w:p>
          <w:p w14:paraId="277E8496" w14:textId="77777777" w:rsidR="00950B74" w:rsidRDefault="00950B74" w:rsidP="00FC5D20">
            <w:pPr>
              <w:rPr>
                <w:sz w:val="18"/>
                <w:szCs w:val="18"/>
              </w:rPr>
            </w:pPr>
          </w:p>
        </w:tc>
      </w:tr>
    </w:tbl>
    <w:p w14:paraId="564582EE" w14:textId="24410410" w:rsidR="00B32760" w:rsidRDefault="00B32760">
      <w:pPr>
        <w:rPr>
          <w:sz w:val="32"/>
          <w:szCs w:val="32"/>
        </w:rPr>
      </w:pPr>
    </w:p>
    <w:p w14:paraId="47CBAA92" w14:textId="1263DE76" w:rsidR="0040502B" w:rsidRPr="00B356A6" w:rsidRDefault="0040502B" w:rsidP="0040502B">
      <w:pPr>
        <w:pStyle w:val="Heading2"/>
        <w:rPr>
          <w:b/>
        </w:rPr>
      </w:pPr>
      <w:r>
        <w:rPr>
          <w:b/>
        </w:rPr>
        <w:t>Table 3</w:t>
      </w:r>
      <w:r w:rsidRPr="00B356A6">
        <w:rPr>
          <w:b/>
        </w:rPr>
        <w:t xml:space="preserve">. Responses to </w:t>
      </w:r>
      <w:r>
        <w:rPr>
          <w:b/>
        </w:rPr>
        <w:t>c</w:t>
      </w:r>
      <w:r w:rsidRPr="00B356A6">
        <w:rPr>
          <w:b/>
        </w:rPr>
        <w:t xml:space="preserve">omments </w:t>
      </w:r>
      <w:r>
        <w:rPr>
          <w:b/>
        </w:rPr>
        <w:t>on intellectual asserts and open access</w:t>
      </w:r>
      <w:r w:rsidRPr="00B356A6">
        <w:rPr>
          <w:b/>
        </w:rPr>
        <w:t xml:space="preserve"> </w:t>
      </w:r>
    </w:p>
    <w:p w14:paraId="3C81DBB6" w14:textId="77777777" w:rsidR="0040502B" w:rsidRDefault="0040502B">
      <w:pPr>
        <w:rPr>
          <w:sz w:val="32"/>
          <w:szCs w:val="32"/>
        </w:rPr>
      </w:pPr>
    </w:p>
    <w:tbl>
      <w:tblPr>
        <w:tblStyle w:val="TableGrid"/>
        <w:tblW w:w="5000" w:type="pct"/>
        <w:tblLook w:val="04A0" w:firstRow="1" w:lastRow="0" w:firstColumn="1" w:lastColumn="0" w:noHBand="0" w:noVBand="1"/>
      </w:tblPr>
      <w:tblGrid>
        <w:gridCol w:w="3596"/>
        <w:gridCol w:w="6388"/>
        <w:gridCol w:w="3964"/>
      </w:tblGrid>
      <w:tr w:rsidR="0040502B" w:rsidRPr="006E73FA" w14:paraId="58547EB6" w14:textId="77777777" w:rsidTr="0040502B">
        <w:trPr>
          <w:trHeight w:val="924"/>
        </w:trPr>
        <w:tc>
          <w:tcPr>
            <w:tcW w:w="1289" w:type="pct"/>
            <w:shd w:val="clear" w:color="auto" w:fill="1F4E79" w:themeFill="accent1" w:themeFillShade="80"/>
          </w:tcPr>
          <w:p w14:paraId="3275E504" w14:textId="77777777" w:rsidR="0040502B" w:rsidRPr="006E73FA" w:rsidRDefault="0040502B" w:rsidP="00DB4C33">
            <w:pPr>
              <w:rPr>
                <w:b/>
                <w:color w:val="FFFFFF" w:themeColor="background1"/>
                <w:sz w:val="18"/>
                <w:szCs w:val="18"/>
              </w:rPr>
            </w:pPr>
            <w:r w:rsidRPr="006E73FA">
              <w:rPr>
                <w:b/>
                <w:color w:val="FFFFFF" w:themeColor="background1"/>
                <w:sz w:val="18"/>
                <w:szCs w:val="18"/>
              </w:rPr>
              <w:t>Comment (page in the commentary)</w:t>
            </w:r>
          </w:p>
        </w:tc>
        <w:tc>
          <w:tcPr>
            <w:tcW w:w="2290" w:type="pct"/>
            <w:shd w:val="clear" w:color="auto" w:fill="1F4E79" w:themeFill="accent1" w:themeFillShade="80"/>
          </w:tcPr>
          <w:p w14:paraId="6FDF8798" w14:textId="77777777" w:rsidR="0040502B" w:rsidRPr="006E73FA" w:rsidRDefault="0040502B" w:rsidP="00DB4C33">
            <w:pPr>
              <w:rPr>
                <w:b/>
                <w:color w:val="FFFFFF" w:themeColor="background1"/>
                <w:sz w:val="18"/>
                <w:szCs w:val="18"/>
              </w:rPr>
            </w:pPr>
            <w:r w:rsidRPr="006E73FA">
              <w:rPr>
                <w:b/>
                <w:color w:val="FFFFFF" w:themeColor="background1"/>
                <w:sz w:val="18"/>
                <w:szCs w:val="18"/>
              </w:rPr>
              <w:t>Respons</w:t>
            </w:r>
            <w:r>
              <w:rPr>
                <w:b/>
                <w:color w:val="FFFFFF" w:themeColor="background1"/>
                <w:sz w:val="18"/>
                <w:szCs w:val="18"/>
              </w:rPr>
              <w:t>e</w:t>
            </w:r>
          </w:p>
        </w:tc>
        <w:tc>
          <w:tcPr>
            <w:tcW w:w="1421" w:type="pct"/>
            <w:shd w:val="clear" w:color="auto" w:fill="1F4E79" w:themeFill="accent1" w:themeFillShade="80"/>
          </w:tcPr>
          <w:p w14:paraId="6D61B473" w14:textId="77777777" w:rsidR="0040502B" w:rsidRPr="006E73FA" w:rsidRDefault="0040502B" w:rsidP="00DB4C33">
            <w:pPr>
              <w:rPr>
                <w:color w:val="FFFFFF" w:themeColor="background1"/>
                <w:sz w:val="18"/>
                <w:szCs w:val="18"/>
              </w:rPr>
            </w:pPr>
            <w:r w:rsidRPr="006E73FA">
              <w:rPr>
                <w:b/>
                <w:color w:val="FFFFFF" w:themeColor="background1"/>
                <w:sz w:val="18"/>
                <w:szCs w:val="18"/>
              </w:rPr>
              <w:t xml:space="preserve">Modification to narrative </w:t>
            </w:r>
            <w:r w:rsidRPr="006E73FA">
              <w:rPr>
                <w:color w:val="FFFFFF" w:themeColor="background1"/>
                <w:sz w:val="18"/>
                <w:szCs w:val="18"/>
              </w:rPr>
              <w:t>(indicate page no./section and highlight the proposed modifications)</w:t>
            </w:r>
          </w:p>
        </w:tc>
      </w:tr>
      <w:tr w:rsidR="0040502B" w:rsidRPr="006E73FA" w14:paraId="52FFAFFC" w14:textId="77777777" w:rsidTr="0040502B">
        <w:tc>
          <w:tcPr>
            <w:tcW w:w="1289" w:type="pct"/>
            <w:shd w:val="clear" w:color="auto" w:fill="9CC2E5" w:themeFill="accent1" w:themeFillTint="99"/>
          </w:tcPr>
          <w:p w14:paraId="3C8DEB5A" w14:textId="77777777" w:rsidR="0040502B" w:rsidRPr="006E73FA" w:rsidRDefault="0040502B" w:rsidP="00DB4C33">
            <w:pPr>
              <w:rPr>
                <w:b/>
                <w:sz w:val="18"/>
                <w:szCs w:val="18"/>
              </w:rPr>
            </w:pPr>
            <w:r w:rsidRPr="006E73FA">
              <w:rPr>
                <w:b/>
                <w:sz w:val="18"/>
                <w:szCs w:val="18"/>
              </w:rPr>
              <w:t>Intellectual assets management</w:t>
            </w:r>
          </w:p>
        </w:tc>
        <w:tc>
          <w:tcPr>
            <w:tcW w:w="2290" w:type="pct"/>
            <w:shd w:val="clear" w:color="auto" w:fill="9CC2E5" w:themeFill="accent1" w:themeFillTint="99"/>
          </w:tcPr>
          <w:p w14:paraId="2B8AB05E" w14:textId="77777777" w:rsidR="0040502B" w:rsidRPr="006E73FA" w:rsidRDefault="0040502B" w:rsidP="00DB4C33">
            <w:pPr>
              <w:rPr>
                <w:b/>
                <w:sz w:val="18"/>
                <w:szCs w:val="18"/>
              </w:rPr>
            </w:pPr>
          </w:p>
        </w:tc>
        <w:tc>
          <w:tcPr>
            <w:tcW w:w="1421" w:type="pct"/>
            <w:shd w:val="clear" w:color="auto" w:fill="9CC2E5" w:themeFill="accent1" w:themeFillTint="99"/>
          </w:tcPr>
          <w:p w14:paraId="029CC35E" w14:textId="77777777" w:rsidR="0040502B" w:rsidRPr="006E73FA" w:rsidRDefault="0040502B" w:rsidP="00DB4C33">
            <w:pPr>
              <w:rPr>
                <w:b/>
                <w:sz w:val="18"/>
                <w:szCs w:val="18"/>
              </w:rPr>
            </w:pPr>
          </w:p>
        </w:tc>
      </w:tr>
      <w:tr w:rsidR="0040502B" w:rsidRPr="006E73FA" w14:paraId="2DE44467" w14:textId="77777777" w:rsidTr="0040502B">
        <w:tc>
          <w:tcPr>
            <w:tcW w:w="1289" w:type="pct"/>
          </w:tcPr>
          <w:p w14:paraId="360F314A" w14:textId="39FD23D1" w:rsidR="0040502B" w:rsidRPr="006E73FA" w:rsidRDefault="0040502B" w:rsidP="0080437D">
            <w:pPr>
              <w:rPr>
                <w:sz w:val="18"/>
                <w:szCs w:val="18"/>
              </w:rPr>
            </w:pPr>
            <w:r w:rsidRPr="006E73FA">
              <w:rPr>
                <w:sz w:val="18"/>
                <w:szCs w:val="18"/>
              </w:rPr>
              <w:t xml:space="preserve">The dissemination pathways and IP/legal considerations identified in Table 3.9a provide an excellent basis for this, all that is missing are specific examples or mapping to highlight their relevance to the </w:t>
            </w:r>
            <w:r w:rsidR="0080437D">
              <w:rPr>
                <w:sz w:val="18"/>
                <w:szCs w:val="18"/>
              </w:rPr>
              <w:t>flagship</w:t>
            </w:r>
            <w:r w:rsidR="00DD3259">
              <w:rPr>
                <w:sz w:val="18"/>
                <w:szCs w:val="18"/>
              </w:rPr>
              <w:t>s</w:t>
            </w:r>
            <w:r w:rsidRPr="006E73FA">
              <w:rPr>
                <w:sz w:val="18"/>
                <w:szCs w:val="18"/>
              </w:rPr>
              <w:t>/</w:t>
            </w:r>
            <w:r w:rsidR="0080437D">
              <w:rPr>
                <w:sz w:val="18"/>
                <w:szCs w:val="18"/>
              </w:rPr>
              <w:t xml:space="preserve">clusters </w:t>
            </w:r>
            <w:r w:rsidRPr="006E73FA">
              <w:rPr>
                <w:sz w:val="18"/>
                <w:szCs w:val="18"/>
              </w:rPr>
              <w:t>of the CRP.</w:t>
            </w:r>
          </w:p>
        </w:tc>
        <w:tc>
          <w:tcPr>
            <w:tcW w:w="2290" w:type="pct"/>
          </w:tcPr>
          <w:p w14:paraId="7FE2AD16" w14:textId="35C07E5E" w:rsidR="0040502B" w:rsidRPr="006E73FA" w:rsidRDefault="0040502B" w:rsidP="00DB4C33">
            <w:pPr>
              <w:rPr>
                <w:sz w:val="18"/>
                <w:szCs w:val="18"/>
              </w:rPr>
            </w:pPr>
            <w:r>
              <w:rPr>
                <w:sz w:val="18"/>
                <w:szCs w:val="18"/>
              </w:rPr>
              <w:t xml:space="preserve">The table </w:t>
            </w:r>
            <w:r w:rsidR="00701040">
              <w:rPr>
                <w:sz w:val="18"/>
                <w:szCs w:val="18"/>
              </w:rPr>
              <w:t xml:space="preserve">in Annex 3.9 </w:t>
            </w:r>
            <w:r>
              <w:rPr>
                <w:sz w:val="18"/>
                <w:szCs w:val="18"/>
              </w:rPr>
              <w:t xml:space="preserve">is updated with some illustrative examples </w:t>
            </w:r>
          </w:p>
        </w:tc>
        <w:tc>
          <w:tcPr>
            <w:tcW w:w="1421" w:type="pct"/>
          </w:tcPr>
          <w:p w14:paraId="36171097" w14:textId="0EE08C8F" w:rsidR="0040502B" w:rsidRPr="006E73FA" w:rsidRDefault="0040502B" w:rsidP="00B35CFD">
            <w:pPr>
              <w:rPr>
                <w:sz w:val="18"/>
                <w:szCs w:val="18"/>
              </w:rPr>
            </w:pPr>
            <w:r w:rsidRPr="00701040">
              <w:rPr>
                <w:sz w:val="18"/>
                <w:szCs w:val="18"/>
              </w:rPr>
              <w:t xml:space="preserve">See </w:t>
            </w:r>
            <w:r w:rsidR="00B35CFD">
              <w:rPr>
                <w:sz w:val="18"/>
                <w:szCs w:val="18"/>
              </w:rPr>
              <w:t>annex t</w:t>
            </w:r>
            <w:r w:rsidRPr="00701040">
              <w:rPr>
                <w:sz w:val="18"/>
                <w:szCs w:val="18"/>
              </w:rPr>
              <w:t>able 3.9a,</w:t>
            </w:r>
            <w:r w:rsidR="00DD1CBC">
              <w:rPr>
                <w:sz w:val="18"/>
                <w:szCs w:val="18"/>
              </w:rPr>
              <w:t xml:space="preserve"> page 153</w:t>
            </w:r>
          </w:p>
        </w:tc>
      </w:tr>
      <w:tr w:rsidR="0040502B" w:rsidRPr="006E73FA" w14:paraId="243C3D06" w14:textId="77777777" w:rsidTr="0040502B">
        <w:tc>
          <w:tcPr>
            <w:tcW w:w="1289" w:type="pct"/>
          </w:tcPr>
          <w:p w14:paraId="2920EB33" w14:textId="77777777" w:rsidR="0040502B" w:rsidRPr="006E73FA" w:rsidRDefault="0040502B" w:rsidP="00DB4C33">
            <w:pPr>
              <w:rPr>
                <w:sz w:val="18"/>
                <w:szCs w:val="18"/>
              </w:rPr>
            </w:pPr>
            <w:r w:rsidRPr="006E73FA">
              <w:rPr>
                <w:sz w:val="18"/>
                <w:szCs w:val="18"/>
              </w:rPr>
              <w:t>i) identify and explain the IA management approach underlying the dissemination pathways which are utilized by the CRP</w:t>
            </w:r>
          </w:p>
        </w:tc>
        <w:tc>
          <w:tcPr>
            <w:tcW w:w="2290" w:type="pct"/>
          </w:tcPr>
          <w:p w14:paraId="6EEBDDD0" w14:textId="77777777" w:rsidR="0040502B" w:rsidRPr="002C3855" w:rsidRDefault="0040502B" w:rsidP="00DB4C33">
            <w:pPr>
              <w:rPr>
                <w:sz w:val="18"/>
                <w:szCs w:val="18"/>
              </w:rPr>
            </w:pPr>
            <w:r w:rsidRPr="002C3855">
              <w:rPr>
                <w:sz w:val="18"/>
                <w:szCs w:val="18"/>
              </w:rPr>
              <w:t xml:space="preserve">Dissemination is a responsibility across the CRP and the annex explains that this will utilize “activities in communication, research data management and open access, partnership and capacity development” as well as engagement with researchers across the research to development cycle. </w:t>
            </w:r>
            <w:r>
              <w:rPr>
                <w:sz w:val="18"/>
                <w:szCs w:val="18"/>
              </w:rPr>
              <w:t xml:space="preserve"> Each pathway has its own dynamic, documented and managed in different ways.  Under IA, the legal dimensions are the particular focus of a wide collaborative effort.</w:t>
            </w:r>
          </w:p>
        </w:tc>
        <w:tc>
          <w:tcPr>
            <w:tcW w:w="1421" w:type="pct"/>
          </w:tcPr>
          <w:p w14:paraId="69A9700B" w14:textId="77777777" w:rsidR="0040502B" w:rsidRPr="006E73FA" w:rsidRDefault="0040502B" w:rsidP="00DB4C33">
            <w:pPr>
              <w:rPr>
                <w:sz w:val="18"/>
                <w:szCs w:val="18"/>
              </w:rPr>
            </w:pPr>
          </w:p>
        </w:tc>
      </w:tr>
      <w:tr w:rsidR="0040502B" w:rsidRPr="006E73FA" w14:paraId="3BF765A8" w14:textId="77777777" w:rsidTr="0040502B">
        <w:tc>
          <w:tcPr>
            <w:tcW w:w="1289" w:type="pct"/>
          </w:tcPr>
          <w:p w14:paraId="35FDDFA7" w14:textId="77777777" w:rsidR="0040502B" w:rsidRPr="006E73FA" w:rsidRDefault="0040502B" w:rsidP="00DB4C33">
            <w:pPr>
              <w:rPr>
                <w:sz w:val="18"/>
                <w:szCs w:val="18"/>
              </w:rPr>
            </w:pPr>
            <w:r w:rsidRPr="006E73FA">
              <w:rPr>
                <w:sz w:val="18"/>
                <w:szCs w:val="18"/>
              </w:rPr>
              <w:t>identify and explain the critical/strategic issues and challenges arising from an IA</w:t>
            </w:r>
          </w:p>
          <w:p w14:paraId="6779E6A7" w14:textId="77777777" w:rsidR="0040502B" w:rsidRPr="006E73FA" w:rsidRDefault="0040502B" w:rsidP="00DB4C33">
            <w:pPr>
              <w:rPr>
                <w:sz w:val="18"/>
                <w:szCs w:val="18"/>
              </w:rPr>
            </w:pPr>
            <w:r w:rsidRPr="006E73FA">
              <w:rPr>
                <w:sz w:val="18"/>
                <w:szCs w:val="18"/>
              </w:rPr>
              <w:t>management perspective which are relevant to the CRP;</w:t>
            </w:r>
          </w:p>
        </w:tc>
        <w:tc>
          <w:tcPr>
            <w:tcW w:w="2290" w:type="pct"/>
          </w:tcPr>
          <w:p w14:paraId="4A927E77" w14:textId="77777777" w:rsidR="0040502B" w:rsidRPr="006E73FA" w:rsidRDefault="0040502B" w:rsidP="00DB4C33">
            <w:pPr>
              <w:rPr>
                <w:sz w:val="18"/>
                <w:szCs w:val="18"/>
              </w:rPr>
            </w:pPr>
          </w:p>
        </w:tc>
        <w:tc>
          <w:tcPr>
            <w:tcW w:w="1421" w:type="pct"/>
          </w:tcPr>
          <w:p w14:paraId="710A8759" w14:textId="77777777" w:rsidR="0040502B" w:rsidRPr="006E73FA" w:rsidRDefault="0040502B" w:rsidP="00DB4C33">
            <w:pPr>
              <w:rPr>
                <w:sz w:val="18"/>
                <w:szCs w:val="18"/>
              </w:rPr>
            </w:pPr>
          </w:p>
        </w:tc>
      </w:tr>
      <w:tr w:rsidR="0040502B" w:rsidRPr="006E73FA" w14:paraId="5E4FF43F" w14:textId="77777777" w:rsidTr="0040502B">
        <w:tc>
          <w:tcPr>
            <w:tcW w:w="1289" w:type="pct"/>
          </w:tcPr>
          <w:p w14:paraId="1D03AF7B" w14:textId="71BABE09" w:rsidR="0040502B" w:rsidRPr="006E73FA" w:rsidRDefault="0040502B" w:rsidP="00DB4C33">
            <w:pPr>
              <w:rPr>
                <w:sz w:val="18"/>
                <w:szCs w:val="18"/>
              </w:rPr>
            </w:pPr>
            <w:r w:rsidRPr="006E73FA">
              <w:rPr>
                <w:sz w:val="18"/>
                <w:szCs w:val="18"/>
              </w:rPr>
              <w:t xml:space="preserve">map the aforementioned to specific </w:t>
            </w:r>
            <w:r w:rsidR="00DD3259">
              <w:rPr>
                <w:sz w:val="18"/>
                <w:szCs w:val="18"/>
              </w:rPr>
              <w:t>flagships</w:t>
            </w:r>
            <w:r w:rsidR="00DD3259" w:rsidRPr="006E73FA">
              <w:rPr>
                <w:sz w:val="18"/>
                <w:szCs w:val="18"/>
              </w:rPr>
              <w:t>/</w:t>
            </w:r>
            <w:r w:rsidR="00DD3259">
              <w:rPr>
                <w:sz w:val="18"/>
                <w:szCs w:val="18"/>
              </w:rPr>
              <w:t>clusters</w:t>
            </w:r>
            <w:r w:rsidRPr="006E73FA">
              <w:rPr>
                <w:sz w:val="18"/>
                <w:szCs w:val="18"/>
              </w:rPr>
              <w:t xml:space="preserve"> supported by actual/anticipated examples at project level where available</w:t>
            </w:r>
          </w:p>
        </w:tc>
        <w:tc>
          <w:tcPr>
            <w:tcW w:w="2290" w:type="pct"/>
          </w:tcPr>
          <w:p w14:paraId="316FC62B" w14:textId="77777777" w:rsidR="0040502B" w:rsidRPr="006E73FA" w:rsidRDefault="0040502B" w:rsidP="00DB4C33">
            <w:pPr>
              <w:rPr>
                <w:sz w:val="18"/>
                <w:szCs w:val="18"/>
              </w:rPr>
            </w:pPr>
            <w:r>
              <w:rPr>
                <w:sz w:val="18"/>
                <w:szCs w:val="18"/>
              </w:rPr>
              <w:t>The annex 3.9 explains that a CRP-wide legal and IP group will be constituted to manage these activities. It will draw heavily on the wider CGIAR community of practice. Each flagship has a specific section covering IA where specific examples are provided.</w:t>
            </w:r>
          </w:p>
        </w:tc>
        <w:tc>
          <w:tcPr>
            <w:tcW w:w="1421" w:type="pct"/>
          </w:tcPr>
          <w:p w14:paraId="28123A36" w14:textId="77777777" w:rsidR="0040502B" w:rsidRPr="006E73FA" w:rsidRDefault="0040502B" w:rsidP="00DB4C33">
            <w:pPr>
              <w:rPr>
                <w:sz w:val="18"/>
                <w:szCs w:val="18"/>
              </w:rPr>
            </w:pPr>
          </w:p>
        </w:tc>
      </w:tr>
      <w:tr w:rsidR="0040502B" w:rsidRPr="006E73FA" w14:paraId="52C70F51" w14:textId="77777777" w:rsidTr="0040502B">
        <w:tc>
          <w:tcPr>
            <w:tcW w:w="1289" w:type="pct"/>
          </w:tcPr>
          <w:p w14:paraId="3C59EB6E" w14:textId="77777777" w:rsidR="0040502B" w:rsidRPr="006E73FA" w:rsidRDefault="0040502B" w:rsidP="00DB4C33">
            <w:pPr>
              <w:rPr>
                <w:sz w:val="18"/>
                <w:szCs w:val="18"/>
              </w:rPr>
            </w:pPr>
            <w:r w:rsidRPr="006E73FA">
              <w:rPr>
                <w:sz w:val="18"/>
                <w:szCs w:val="18"/>
              </w:rPr>
              <w:t xml:space="preserve">The following approaches to decision making and capacity should be considered: (i) development of as CRP level IP policy framework to guide implementing partners; (ii) formation of an IP Management </w:t>
            </w:r>
            <w:r w:rsidRPr="006E73FA">
              <w:rPr>
                <w:sz w:val="18"/>
                <w:szCs w:val="18"/>
              </w:rPr>
              <w:lastRenderedPageBreak/>
              <w:t>Committee to support the CRP and to coordinate IA management across CRP.</w:t>
            </w:r>
          </w:p>
        </w:tc>
        <w:tc>
          <w:tcPr>
            <w:tcW w:w="2290" w:type="pct"/>
          </w:tcPr>
          <w:p w14:paraId="12703817" w14:textId="77777777" w:rsidR="00950B74" w:rsidRDefault="0040502B" w:rsidP="00DB4C33">
            <w:pPr>
              <w:rPr>
                <w:sz w:val="18"/>
                <w:szCs w:val="18"/>
              </w:rPr>
            </w:pPr>
            <w:r>
              <w:rPr>
                <w:sz w:val="18"/>
                <w:szCs w:val="18"/>
              </w:rPr>
              <w:lastRenderedPageBreak/>
              <w:t xml:space="preserve">As annex 3.9 states, the </w:t>
            </w:r>
            <w:r w:rsidRPr="003F3CC2">
              <w:rPr>
                <w:sz w:val="18"/>
                <w:szCs w:val="18"/>
              </w:rPr>
              <w:t>CGIAR Principles for the Management of Intellectual Assets and the CGIAR Open Access and Data Management Policy</w:t>
            </w:r>
            <w:r>
              <w:rPr>
                <w:sz w:val="18"/>
                <w:szCs w:val="18"/>
              </w:rPr>
              <w:t xml:space="preserve"> provide the necessary wider policy framework. </w:t>
            </w:r>
          </w:p>
          <w:p w14:paraId="74CA9A35" w14:textId="77777777" w:rsidR="00950B74" w:rsidRDefault="00950B74" w:rsidP="00DB4C33">
            <w:pPr>
              <w:rPr>
                <w:sz w:val="18"/>
                <w:szCs w:val="18"/>
              </w:rPr>
            </w:pPr>
          </w:p>
          <w:p w14:paraId="60A9ACEE" w14:textId="088A0326" w:rsidR="0040502B" w:rsidRDefault="00977C0F" w:rsidP="00DB4C33">
            <w:pPr>
              <w:rPr>
                <w:sz w:val="18"/>
                <w:szCs w:val="18"/>
              </w:rPr>
            </w:pPr>
            <w:r>
              <w:rPr>
                <w:sz w:val="18"/>
                <w:szCs w:val="18"/>
              </w:rPr>
              <w:lastRenderedPageBreak/>
              <w:t>The CGIAR guidelines on open access, for example, make it clear that centres lead the imple</w:t>
            </w:r>
            <w:r w:rsidR="00950B74">
              <w:rPr>
                <w:sz w:val="18"/>
                <w:szCs w:val="18"/>
              </w:rPr>
              <w:t xml:space="preserve">mentation in this area and </w:t>
            </w:r>
            <w:r>
              <w:rPr>
                <w:sz w:val="18"/>
                <w:szCs w:val="18"/>
              </w:rPr>
              <w:t xml:space="preserve">CRPs need to follow. </w:t>
            </w:r>
            <w:r w:rsidR="00950B74">
              <w:rPr>
                <w:sz w:val="18"/>
                <w:szCs w:val="18"/>
              </w:rPr>
              <w:t>With system and centre level policies already existing, the CRP</w:t>
            </w:r>
            <w:r w:rsidR="0040502B">
              <w:rPr>
                <w:sz w:val="18"/>
                <w:szCs w:val="18"/>
              </w:rPr>
              <w:t xml:space="preserve"> do</w:t>
            </w:r>
            <w:r w:rsidR="00950B74">
              <w:rPr>
                <w:sz w:val="18"/>
                <w:szCs w:val="18"/>
              </w:rPr>
              <w:t>es</w:t>
            </w:r>
            <w:r w:rsidR="0040502B">
              <w:rPr>
                <w:sz w:val="18"/>
                <w:szCs w:val="18"/>
              </w:rPr>
              <w:t xml:space="preserve"> not see the need for a</w:t>
            </w:r>
            <w:r>
              <w:rPr>
                <w:sz w:val="18"/>
                <w:szCs w:val="18"/>
              </w:rPr>
              <w:t xml:space="preserve"> further</w:t>
            </w:r>
            <w:r w:rsidR="0040502B">
              <w:rPr>
                <w:sz w:val="18"/>
                <w:szCs w:val="18"/>
              </w:rPr>
              <w:t xml:space="preserve"> policy; rather </w:t>
            </w:r>
            <w:r w:rsidR="00950B74">
              <w:rPr>
                <w:sz w:val="18"/>
                <w:szCs w:val="18"/>
              </w:rPr>
              <w:t>it</w:t>
            </w:r>
            <w:r w:rsidR="0040502B">
              <w:rPr>
                <w:sz w:val="18"/>
                <w:szCs w:val="18"/>
              </w:rPr>
              <w:t xml:space="preserve"> will focus on the support and compliance mechanisms necessary to implement the </w:t>
            </w:r>
            <w:r>
              <w:rPr>
                <w:sz w:val="18"/>
                <w:szCs w:val="18"/>
              </w:rPr>
              <w:t xml:space="preserve">existing </w:t>
            </w:r>
            <w:r w:rsidR="0040502B">
              <w:rPr>
                <w:sz w:val="18"/>
                <w:szCs w:val="18"/>
              </w:rPr>
              <w:t>polic</w:t>
            </w:r>
            <w:r>
              <w:rPr>
                <w:sz w:val="18"/>
                <w:szCs w:val="18"/>
              </w:rPr>
              <w:t>ies and guidelines</w:t>
            </w:r>
            <w:r w:rsidR="0040502B">
              <w:rPr>
                <w:sz w:val="18"/>
                <w:szCs w:val="18"/>
              </w:rPr>
              <w:t>.</w:t>
            </w:r>
          </w:p>
          <w:p w14:paraId="685C1BB9" w14:textId="77777777" w:rsidR="0040502B" w:rsidRDefault="0040502B" w:rsidP="00DB4C33">
            <w:pPr>
              <w:rPr>
                <w:sz w:val="18"/>
                <w:szCs w:val="18"/>
              </w:rPr>
            </w:pPr>
          </w:p>
          <w:p w14:paraId="30A06C50" w14:textId="77777777" w:rsidR="0040502B" w:rsidRPr="006E73FA" w:rsidRDefault="0040502B" w:rsidP="00DB4C33">
            <w:pPr>
              <w:rPr>
                <w:sz w:val="18"/>
                <w:szCs w:val="18"/>
              </w:rPr>
            </w:pPr>
            <w:r>
              <w:rPr>
                <w:sz w:val="18"/>
                <w:szCs w:val="18"/>
              </w:rPr>
              <w:t>IP management will be one of the areas covered by the Program Management Committee, which may establish sub-committees as appropriate.</w:t>
            </w:r>
          </w:p>
        </w:tc>
        <w:tc>
          <w:tcPr>
            <w:tcW w:w="1421" w:type="pct"/>
          </w:tcPr>
          <w:p w14:paraId="15680651" w14:textId="77777777" w:rsidR="0040502B" w:rsidRPr="006E73FA" w:rsidRDefault="0040502B" w:rsidP="00DB4C33">
            <w:pPr>
              <w:rPr>
                <w:sz w:val="18"/>
                <w:szCs w:val="18"/>
              </w:rPr>
            </w:pPr>
          </w:p>
        </w:tc>
      </w:tr>
      <w:tr w:rsidR="0040502B" w:rsidRPr="006E73FA" w14:paraId="197D3095" w14:textId="77777777" w:rsidTr="0040502B">
        <w:tc>
          <w:tcPr>
            <w:tcW w:w="1289" w:type="pct"/>
          </w:tcPr>
          <w:p w14:paraId="39A3719D" w14:textId="77777777" w:rsidR="0040502B" w:rsidRPr="006E73FA" w:rsidRDefault="0040502B" w:rsidP="00DB4C33">
            <w:pPr>
              <w:rPr>
                <w:sz w:val="18"/>
                <w:szCs w:val="18"/>
              </w:rPr>
            </w:pPr>
            <w:r w:rsidRPr="006E73FA">
              <w:rPr>
                <w:sz w:val="18"/>
                <w:szCs w:val="18"/>
              </w:rPr>
              <w:lastRenderedPageBreak/>
              <w:t xml:space="preserve">The responsibility of the Program Management Committee in relation to IA management issues is not explained or distinguished from that of the Lead </w:t>
            </w:r>
            <w:proofErr w:type="spellStart"/>
            <w:r w:rsidRPr="006E73FA">
              <w:rPr>
                <w:sz w:val="18"/>
                <w:szCs w:val="18"/>
              </w:rPr>
              <w:t>Center</w:t>
            </w:r>
            <w:proofErr w:type="spellEnd"/>
            <w:r w:rsidRPr="006E73FA">
              <w:rPr>
                <w:sz w:val="18"/>
                <w:szCs w:val="18"/>
              </w:rPr>
              <w:t xml:space="preserve"> (e.g. role in determining non-standard dissemination pathways that may involve restrictions, particularly those that require justification/reporting</w:t>
            </w:r>
          </w:p>
        </w:tc>
        <w:tc>
          <w:tcPr>
            <w:tcW w:w="2290" w:type="pct"/>
          </w:tcPr>
          <w:p w14:paraId="4E4A700C" w14:textId="709209AC" w:rsidR="0040502B" w:rsidRPr="006E73FA" w:rsidRDefault="00950B74" w:rsidP="00950B74">
            <w:pPr>
              <w:rPr>
                <w:sz w:val="18"/>
                <w:szCs w:val="18"/>
              </w:rPr>
            </w:pPr>
            <w:r>
              <w:rPr>
                <w:sz w:val="18"/>
                <w:szCs w:val="18"/>
              </w:rPr>
              <w:t>The CRP</w:t>
            </w:r>
            <w:r w:rsidR="0040502B">
              <w:rPr>
                <w:sz w:val="18"/>
                <w:szCs w:val="18"/>
              </w:rPr>
              <w:t xml:space="preserve"> will consider this and other specialized areas when the TOR and scope of the PMC is specified.</w:t>
            </w:r>
          </w:p>
        </w:tc>
        <w:tc>
          <w:tcPr>
            <w:tcW w:w="1421" w:type="pct"/>
          </w:tcPr>
          <w:p w14:paraId="18B9584D" w14:textId="77777777" w:rsidR="0040502B" w:rsidRPr="006E73FA" w:rsidRDefault="0040502B" w:rsidP="00DB4C33">
            <w:pPr>
              <w:rPr>
                <w:sz w:val="18"/>
                <w:szCs w:val="18"/>
              </w:rPr>
            </w:pPr>
          </w:p>
        </w:tc>
      </w:tr>
      <w:tr w:rsidR="0040502B" w:rsidRPr="006E73FA" w14:paraId="51178799" w14:textId="77777777" w:rsidTr="0040502B">
        <w:tc>
          <w:tcPr>
            <w:tcW w:w="1289" w:type="pct"/>
          </w:tcPr>
          <w:p w14:paraId="72BD76DA" w14:textId="77777777" w:rsidR="0040502B" w:rsidRPr="006E73FA" w:rsidRDefault="0040502B" w:rsidP="00DB4C33">
            <w:pPr>
              <w:rPr>
                <w:sz w:val="18"/>
                <w:szCs w:val="18"/>
              </w:rPr>
            </w:pPr>
            <w:r w:rsidRPr="006E73FA">
              <w:rPr>
                <w:sz w:val="18"/>
                <w:szCs w:val="18"/>
              </w:rPr>
              <w:t xml:space="preserve">The CRP proposal could be further strengthened by providing insight into IP legal capacity across the CRP (e.g. by attaching CVs or </w:t>
            </w:r>
            <w:proofErr w:type="spellStart"/>
            <w:r w:rsidRPr="006E73FA">
              <w:rPr>
                <w:sz w:val="18"/>
                <w:szCs w:val="18"/>
              </w:rPr>
              <w:t>ToRs</w:t>
            </w:r>
            <w:proofErr w:type="spellEnd"/>
            <w:r w:rsidRPr="006E73FA">
              <w:rPr>
                <w:sz w:val="18"/>
                <w:szCs w:val="18"/>
              </w:rPr>
              <w:t xml:space="preserve"> for the relevant staff at Lead </w:t>
            </w:r>
            <w:proofErr w:type="spellStart"/>
            <w:r w:rsidRPr="006E73FA">
              <w:rPr>
                <w:sz w:val="18"/>
                <w:szCs w:val="18"/>
              </w:rPr>
              <w:t>Center</w:t>
            </w:r>
            <w:proofErr w:type="spellEnd"/>
            <w:r w:rsidRPr="006E73FA">
              <w:rPr>
                <w:sz w:val="18"/>
                <w:szCs w:val="18"/>
              </w:rPr>
              <w:t xml:space="preserve"> and CRP strategic partners, and indicating anticipated FTE commitments). This would also help ensure the CRP has appropriate capacity to manage the critical issues/challenges identified from an IA management perspective.</w:t>
            </w:r>
          </w:p>
        </w:tc>
        <w:tc>
          <w:tcPr>
            <w:tcW w:w="2290" w:type="pct"/>
          </w:tcPr>
          <w:p w14:paraId="69858845" w14:textId="7DE51A36" w:rsidR="0040502B" w:rsidRPr="006E73FA" w:rsidRDefault="00950B74" w:rsidP="00950B74">
            <w:pPr>
              <w:rPr>
                <w:sz w:val="18"/>
                <w:szCs w:val="18"/>
              </w:rPr>
            </w:pPr>
            <w:r>
              <w:rPr>
                <w:sz w:val="18"/>
                <w:szCs w:val="18"/>
              </w:rPr>
              <w:t>The CRP</w:t>
            </w:r>
            <w:r w:rsidR="0040502B">
              <w:rPr>
                <w:sz w:val="18"/>
                <w:szCs w:val="18"/>
              </w:rPr>
              <w:t xml:space="preserve"> estimate</w:t>
            </w:r>
            <w:r>
              <w:rPr>
                <w:sz w:val="18"/>
                <w:szCs w:val="18"/>
              </w:rPr>
              <w:t>s</w:t>
            </w:r>
            <w:r w:rsidR="0040502B">
              <w:rPr>
                <w:sz w:val="18"/>
                <w:szCs w:val="18"/>
              </w:rPr>
              <w:t xml:space="preserve"> legal and IP dedicated to the CRP as approximately 0.5FTE, drawn from the different partners, with time budgeted and support through the lead centre’s legal and IP unit. See annex 3.9.</w:t>
            </w:r>
          </w:p>
        </w:tc>
        <w:tc>
          <w:tcPr>
            <w:tcW w:w="1421" w:type="pct"/>
          </w:tcPr>
          <w:p w14:paraId="42C9C1AB" w14:textId="57867BED" w:rsidR="0040502B" w:rsidRPr="006E73FA" w:rsidRDefault="0040502B" w:rsidP="00DB4C33">
            <w:pPr>
              <w:rPr>
                <w:sz w:val="18"/>
                <w:szCs w:val="18"/>
              </w:rPr>
            </w:pPr>
            <w:r>
              <w:rPr>
                <w:sz w:val="18"/>
                <w:szCs w:val="18"/>
              </w:rPr>
              <w:t>Linda Op</w:t>
            </w:r>
            <w:r w:rsidR="00701040">
              <w:rPr>
                <w:sz w:val="18"/>
                <w:szCs w:val="18"/>
              </w:rPr>
              <w:t>ati CV added to Annex 3.7</w:t>
            </w:r>
          </w:p>
        </w:tc>
      </w:tr>
      <w:tr w:rsidR="0040502B" w:rsidRPr="006E73FA" w14:paraId="6D4710E3" w14:textId="77777777" w:rsidTr="0040502B">
        <w:tc>
          <w:tcPr>
            <w:tcW w:w="1289" w:type="pct"/>
          </w:tcPr>
          <w:p w14:paraId="0EB9E78E" w14:textId="77777777" w:rsidR="0040502B" w:rsidRPr="006E73FA" w:rsidRDefault="0040502B" w:rsidP="00DB4C33">
            <w:pPr>
              <w:rPr>
                <w:sz w:val="18"/>
                <w:szCs w:val="18"/>
              </w:rPr>
            </w:pPr>
            <w:r w:rsidRPr="006E73FA">
              <w:rPr>
                <w:sz w:val="18"/>
                <w:szCs w:val="18"/>
              </w:rPr>
              <w:t>The IA Management sections of the CRP could be strengthened by providing a more detailed budget narrative for specific activities related to IA management.</w:t>
            </w:r>
          </w:p>
        </w:tc>
        <w:tc>
          <w:tcPr>
            <w:tcW w:w="2290" w:type="pct"/>
          </w:tcPr>
          <w:p w14:paraId="0CF4E671" w14:textId="0A17B4DD" w:rsidR="0040502B" w:rsidRPr="006E73FA" w:rsidRDefault="00950B74" w:rsidP="00950B74">
            <w:pPr>
              <w:rPr>
                <w:sz w:val="18"/>
                <w:szCs w:val="18"/>
              </w:rPr>
            </w:pPr>
            <w:r>
              <w:rPr>
                <w:sz w:val="18"/>
                <w:szCs w:val="18"/>
              </w:rPr>
              <w:t>T</w:t>
            </w:r>
            <w:r w:rsidR="0040502B">
              <w:rPr>
                <w:sz w:val="18"/>
                <w:szCs w:val="18"/>
              </w:rPr>
              <w:t>he proposal provided an overall summary budget for IA, OA, RDM and communications across the flagships and under managem</w:t>
            </w:r>
            <w:r w:rsidR="0040502B" w:rsidRPr="008D2A40">
              <w:rPr>
                <w:sz w:val="18"/>
                <w:szCs w:val="18"/>
              </w:rPr>
              <w:t>ent. These were based on detailed budgets w</w:t>
            </w:r>
            <w:r w:rsidR="0040502B">
              <w:rPr>
                <w:sz w:val="18"/>
                <w:szCs w:val="18"/>
              </w:rPr>
              <w:t>o</w:t>
            </w:r>
            <w:r w:rsidR="0040502B" w:rsidRPr="008D2A40">
              <w:rPr>
                <w:sz w:val="18"/>
                <w:szCs w:val="18"/>
              </w:rPr>
              <w:t>rked out at each level.</w:t>
            </w:r>
          </w:p>
        </w:tc>
        <w:tc>
          <w:tcPr>
            <w:tcW w:w="1421" w:type="pct"/>
          </w:tcPr>
          <w:p w14:paraId="2A3924D7" w14:textId="77777777" w:rsidR="0040502B" w:rsidRPr="006E73FA" w:rsidRDefault="0040502B" w:rsidP="00DB4C33">
            <w:pPr>
              <w:rPr>
                <w:sz w:val="18"/>
                <w:szCs w:val="18"/>
              </w:rPr>
            </w:pPr>
          </w:p>
        </w:tc>
      </w:tr>
      <w:tr w:rsidR="0040502B" w:rsidRPr="006E73FA" w14:paraId="06A8AA7A" w14:textId="77777777" w:rsidTr="0040502B">
        <w:tc>
          <w:tcPr>
            <w:tcW w:w="1289" w:type="pct"/>
            <w:shd w:val="clear" w:color="auto" w:fill="9CC2E5" w:themeFill="accent1" w:themeFillTint="99"/>
          </w:tcPr>
          <w:p w14:paraId="5A5FCAED" w14:textId="77777777" w:rsidR="0040502B" w:rsidRPr="006E73FA" w:rsidRDefault="0040502B" w:rsidP="00DB4C33">
            <w:pPr>
              <w:rPr>
                <w:b/>
                <w:sz w:val="18"/>
                <w:szCs w:val="18"/>
              </w:rPr>
            </w:pPr>
            <w:r w:rsidRPr="006E73FA">
              <w:rPr>
                <w:b/>
                <w:sz w:val="18"/>
                <w:szCs w:val="18"/>
              </w:rPr>
              <w:t>Open access and open data</w:t>
            </w:r>
          </w:p>
        </w:tc>
        <w:tc>
          <w:tcPr>
            <w:tcW w:w="2290" w:type="pct"/>
            <w:shd w:val="clear" w:color="auto" w:fill="9CC2E5" w:themeFill="accent1" w:themeFillTint="99"/>
          </w:tcPr>
          <w:p w14:paraId="27F8C6AF" w14:textId="77777777" w:rsidR="0040502B" w:rsidRPr="006E73FA" w:rsidRDefault="0040502B" w:rsidP="00DB4C33">
            <w:pPr>
              <w:rPr>
                <w:b/>
                <w:sz w:val="18"/>
                <w:szCs w:val="18"/>
              </w:rPr>
            </w:pPr>
          </w:p>
        </w:tc>
        <w:tc>
          <w:tcPr>
            <w:tcW w:w="1421" w:type="pct"/>
            <w:shd w:val="clear" w:color="auto" w:fill="9CC2E5" w:themeFill="accent1" w:themeFillTint="99"/>
          </w:tcPr>
          <w:p w14:paraId="0DEAE039" w14:textId="77777777" w:rsidR="0040502B" w:rsidRPr="006E73FA" w:rsidRDefault="0040502B" w:rsidP="00DB4C33">
            <w:pPr>
              <w:rPr>
                <w:b/>
                <w:sz w:val="18"/>
                <w:szCs w:val="18"/>
              </w:rPr>
            </w:pPr>
          </w:p>
        </w:tc>
      </w:tr>
      <w:tr w:rsidR="0040502B" w:rsidRPr="006E73FA" w14:paraId="6C0C5495" w14:textId="77777777" w:rsidTr="0040502B">
        <w:tc>
          <w:tcPr>
            <w:tcW w:w="1289" w:type="pct"/>
          </w:tcPr>
          <w:p w14:paraId="0FA0AD8A" w14:textId="77777777" w:rsidR="0040502B" w:rsidRPr="006E73FA" w:rsidRDefault="0040502B" w:rsidP="00DB4C33">
            <w:pPr>
              <w:rPr>
                <w:sz w:val="18"/>
                <w:szCs w:val="18"/>
              </w:rPr>
            </w:pPr>
            <w:r w:rsidRPr="006E73FA">
              <w:rPr>
                <w:sz w:val="18"/>
                <w:szCs w:val="18"/>
              </w:rPr>
              <w:t>roles and responsibilities have not been clarified, and budget lines for tasks not specified-</w:t>
            </w:r>
          </w:p>
        </w:tc>
        <w:tc>
          <w:tcPr>
            <w:tcW w:w="2290" w:type="pct"/>
          </w:tcPr>
          <w:p w14:paraId="222E48D9" w14:textId="7B973E39" w:rsidR="0040502B" w:rsidRPr="006E73FA" w:rsidRDefault="00950B74" w:rsidP="00950B74">
            <w:pPr>
              <w:rPr>
                <w:sz w:val="18"/>
                <w:szCs w:val="18"/>
              </w:rPr>
            </w:pPr>
            <w:r>
              <w:rPr>
                <w:sz w:val="18"/>
                <w:szCs w:val="18"/>
              </w:rPr>
              <w:t>The</w:t>
            </w:r>
            <w:r w:rsidR="0040502B">
              <w:rPr>
                <w:sz w:val="18"/>
                <w:szCs w:val="18"/>
              </w:rPr>
              <w:t xml:space="preserve"> proposal provided an overall summary budget for IA, OA, RDM and communications across the flagships and under </w:t>
            </w:r>
            <w:r w:rsidR="0040502B" w:rsidRPr="008D2A40">
              <w:rPr>
                <w:sz w:val="18"/>
                <w:szCs w:val="18"/>
              </w:rPr>
              <w:t>management. Roles and responsibilities are also summarised in the overall narrative (1.0.13) and relevant annex (3.8). Both activities (tasks) and associated budget are provided within each flagship narrative (2.x.1.1.1 and 2.x.2.5).</w:t>
            </w:r>
          </w:p>
        </w:tc>
        <w:tc>
          <w:tcPr>
            <w:tcW w:w="1421" w:type="pct"/>
          </w:tcPr>
          <w:p w14:paraId="64AD6BC5" w14:textId="77777777" w:rsidR="0040502B" w:rsidRPr="006E73FA" w:rsidRDefault="0040502B" w:rsidP="00DB4C33">
            <w:pPr>
              <w:rPr>
                <w:sz w:val="18"/>
                <w:szCs w:val="18"/>
              </w:rPr>
            </w:pPr>
          </w:p>
        </w:tc>
      </w:tr>
      <w:tr w:rsidR="0040502B" w:rsidRPr="006E73FA" w14:paraId="720C17FF" w14:textId="77777777" w:rsidTr="0040502B">
        <w:tc>
          <w:tcPr>
            <w:tcW w:w="1289" w:type="pct"/>
          </w:tcPr>
          <w:p w14:paraId="3015C72D" w14:textId="77777777" w:rsidR="0040502B" w:rsidRPr="006E73FA" w:rsidRDefault="0040502B" w:rsidP="00DB4C33">
            <w:pPr>
              <w:rPr>
                <w:sz w:val="18"/>
                <w:szCs w:val="18"/>
              </w:rPr>
            </w:pPr>
            <w:proofErr w:type="gramStart"/>
            <w:r w:rsidRPr="006E73FA">
              <w:rPr>
                <w:sz w:val="18"/>
                <w:szCs w:val="18"/>
              </w:rPr>
              <w:t>no</w:t>
            </w:r>
            <w:proofErr w:type="gramEnd"/>
            <w:r w:rsidRPr="006E73FA">
              <w:rPr>
                <w:sz w:val="18"/>
                <w:szCs w:val="18"/>
              </w:rPr>
              <w:t xml:space="preserve"> details have been provided on what sorts of activities are envisioned.</w:t>
            </w:r>
          </w:p>
        </w:tc>
        <w:tc>
          <w:tcPr>
            <w:tcW w:w="2290" w:type="pct"/>
          </w:tcPr>
          <w:p w14:paraId="23262F65" w14:textId="20221779" w:rsidR="0040502B" w:rsidRPr="006E73FA" w:rsidRDefault="00977C0F" w:rsidP="00977C0F">
            <w:pPr>
              <w:rPr>
                <w:sz w:val="18"/>
                <w:szCs w:val="18"/>
              </w:rPr>
            </w:pPr>
            <w:r>
              <w:rPr>
                <w:sz w:val="18"/>
                <w:szCs w:val="18"/>
              </w:rPr>
              <w:t>D</w:t>
            </w:r>
            <w:r w:rsidR="0040502B">
              <w:rPr>
                <w:sz w:val="18"/>
                <w:szCs w:val="18"/>
              </w:rPr>
              <w:t xml:space="preserve">ifferent dissemination pathways and activities </w:t>
            </w:r>
            <w:r>
              <w:rPr>
                <w:sz w:val="18"/>
                <w:szCs w:val="18"/>
              </w:rPr>
              <w:t xml:space="preserve">are described </w:t>
            </w:r>
            <w:r w:rsidR="0040502B">
              <w:rPr>
                <w:sz w:val="18"/>
                <w:szCs w:val="18"/>
              </w:rPr>
              <w:t xml:space="preserve">in table 3.9a under Annex 3.9 on IA. The section on ‘implementing open </w:t>
            </w:r>
            <w:r w:rsidR="0040502B" w:rsidRPr="008D2A40">
              <w:rPr>
                <w:sz w:val="18"/>
                <w:szCs w:val="18"/>
              </w:rPr>
              <w:t xml:space="preserve">access’ sets out the main activity areas, platforms, challenges and approaches the CRP will follow. Each </w:t>
            </w:r>
            <w:r w:rsidR="0040502B" w:rsidRPr="008D2A40">
              <w:rPr>
                <w:sz w:val="18"/>
                <w:szCs w:val="18"/>
              </w:rPr>
              <w:lastRenderedPageBreak/>
              <w:t>flagship also provides in 2.x.1.1.1 more detail about specific approaches and platforms for their specific topic area.</w:t>
            </w:r>
          </w:p>
        </w:tc>
        <w:tc>
          <w:tcPr>
            <w:tcW w:w="1421" w:type="pct"/>
          </w:tcPr>
          <w:p w14:paraId="0AF4F29D" w14:textId="77777777" w:rsidR="0040502B" w:rsidRPr="006E73FA" w:rsidRDefault="0040502B" w:rsidP="00DB4C33">
            <w:pPr>
              <w:rPr>
                <w:sz w:val="18"/>
                <w:szCs w:val="18"/>
              </w:rPr>
            </w:pPr>
          </w:p>
        </w:tc>
      </w:tr>
      <w:tr w:rsidR="0040502B" w:rsidRPr="006E73FA" w14:paraId="3A0AA11C" w14:textId="77777777" w:rsidTr="0040502B">
        <w:tc>
          <w:tcPr>
            <w:tcW w:w="1289" w:type="pct"/>
          </w:tcPr>
          <w:p w14:paraId="55017CDC" w14:textId="77777777" w:rsidR="0040502B" w:rsidRPr="006E73FA" w:rsidRDefault="0040502B" w:rsidP="00DB4C33">
            <w:pPr>
              <w:rPr>
                <w:sz w:val="18"/>
                <w:szCs w:val="18"/>
              </w:rPr>
            </w:pPr>
            <w:r w:rsidRPr="006E73FA">
              <w:rPr>
                <w:sz w:val="18"/>
                <w:szCs w:val="18"/>
              </w:rPr>
              <w:lastRenderedPageBreak/>
              <w:t>How will Livestock encourage budgeting for missing elements and/or effectively implement OA/OD in their absence?</w:t>
            </w:r>
          </w:p>
        </w:tc>
        <w:tc>
          <w:tcPr>
            <w:tcW w:w="2290" w:type="pct"/>
          </w:tcPr>
          <w:p w14:paraId="351FDB11" w14:textId="1AB04157" w:rsidR="0040502B" w:rsidRPr="0074081C" w:rsidRDefault="00977C0F" w:rsidP="00DB4C33">
            <w:pPr>
              <w:rPr>
                <w:sz w:val="18"/>
                <w:szCs w:val="18"/>
              </w:rPr>
            </w:pPr>
            <w:r>
              <w:rPr>
                <w:sz w:val="18"/>
                <w:szCs w:val="18"/>
              </w:rPr>
              <w:t>A</w:t>
            </w:r>
            <w:r w:rsidR="0040502B">
              <w:rPr>
                <w:sz w:val="18"/>
                <w:szCs w:val="18"/>
              </w:rPr>
              <w:t>nnex 3.8 states: “</w:t>
            </w:r>
            <w:r w:rsidR="0040502B" w:rsidRPr="0074081C">
              <w:rPr>
                <w:sz w:val="18"/>
                <w:szCs w:val="18"/>
              </w:rPr>
              <w:t>Over time, bilateral projects will also budget for open access, open data and RDM. Promoting and requiring this will be part of the CRP strategy to achieve the global accessibility its aims for. Until all projects properly budget these areas, the CRP will co-finance critical open access and open data investments as well as strategic platforms at the CRP level that add value and synergies and make dispersed knowledge findable and re-usable.</w:t>
            </w:r>
            <w:r w:rsidR="0040502B">
              <w:rPr>
                <w:sz w:val="18"/>
                <w:szCs w:val="18"/>
              </w:rPr>
              <w:t>”</w:t>
            </w:r>
          </w:p>
          <w:p w14:paraId="2223D82B" w14:textId="77777777" w:rsidR="0040502B" w:rsidRPr="006E73FA" w:rsidRDefault="0040502B" w:rsidP="00DB4C33">
            <w:pPr>
              <w:rPr>
                <w:sz w:val="18"/>
                <w:szCs w:val="18"/>
              </w:rPr>
            </w:pPr>
          </w:p>
        </w:tc>
        <w:tc>
          <w:tcPr>
            <w:tcW w:w="1421" w:type="pct"/>
          </w:tcPr>
          <w:p w14:paraId="5428BDEA" w14:textId="77777777" w:rsidR="0040502B" w:rsidRPr="006E73FA" w:rsidRDefault="0040502B" w:rsidP="00DB4C33">
            <w:pPr>
              <w:rPr>
                <w:sz w:val="18"/>
                <w:szCs w:val="18"/>
              </w:rPr>
            </w:pPr>
          </w:p>
        </w:tc>
      </w:tr>
      <w:tr w:rsidR="0040502B" w:rsidRPr="006E73FA" w14:paraId="4783C019" w14:textId="77777777" w:rsidTr="0040502B">
        <w:tc>
          <w:tcPr>
            <w:tcW w:w="1289" w:type="pct"/>
          </w:tcPr>
          <w:p w14:paraId="44D3869D" w14:textId="77777777" w:rsidR="0040502B" w:rsidRPr="006E73FA" w:rsidRDefault="0040502B" w:rsidP="00DB4C33">
            <w:pPr>
              <w:rPr>
                <w:sz w:val="18"/>
                <w:szCs w:val="18"/>
              </w:rPr>
            </w:pPr>
            <w:r w:rsidRPr="006E73FA">
              <w:rPr>
                <w:sz w:val="18"/>
                <w:szCs w:val="18"/>
              </w:rPr>
              <w:t xml:space="preserve">The narrative on technical aspects of OA/OD is poor: Data curation/quality control is not addressed; there is no narrative on technical considerations at all, and little if any mention of metadata, including the CG Core, around which discussions have been held with ILRI staff regarding </w:t>
            </w:r>
            <w:proofErr w:type="spellStart"/>
            <w:r w:rsidRPr="006E73FA">
              <w:rPr>
                <w:sz w:val="18"/>
                <w:szCs w:val="18"/>
              </w:rPr>
              <w:t>CGspace</w:t>
            </w:r>
            <w:proofErr w:type="spellEnd"/>
            <w:r w:rsidRPr="006E73FA">
              <w:rPr>
                <w:sz w:val="18"/>
                <w:szCs w:val="18"/>
              </w:rPr>
              <w:t xml:space="preserve"> in particular, but also CKAN; and no detail whatsoever on interoperability standards or data sharing protocols.</w:t>
            </w:r>
          </w:p>
        </w:tc>
        <w:tc>
          <w:tcPr>
            <w:tcW w:w="2290" w:type="pct"/>
          </w:tcPr>
          <w:p w14:paraId="01E00DE7" w14:textId="77777777" w:rsidR="0040502B" w:rsidRDefault="0040502B" w:rsidP="00DB4C33">
            <w:pPr>
              <w:rPr>
                <w:sz w:val="18"/>
                <w:szCs w:val="18"/>
              </w:rPr>
            </w:pPr>
            <w:r>
              <w:rPr>
                <w:sz w:val="18"/>
                <w:szCs w:val="18"/>
              </w:rPr>
              <w:t xml:space="preserve">See annex 3.8 for additional information on metadata and </w:t>
            </w:r>
            <w:r w:rsidRPr="008D2A40">
              <w:rPr>
                <w:sz w:val="18"/>
                <w:szCs w:val="18"/>
              </w:rPr>
              <w:t>standards. Minor revisions made.</w:t>
            </w:r>
          </w:p>
          <w:p w14:paraId="0B821ABB" w14:textId="77777777" w:rsidR="0040502B" w:rsidRDefault="0040502B" w:rsidP="00DB4C33">
            <w:pPr>
              <w:rPr>
                <w:sz w:val="18"/>
                <w:szCs w:val="18"/>
              </w:rPr>
            </w:pPr>
          </w:p>
          <w:p w14:paraId="19483A2D" w14:textId="707FA936" w:rsidR="0040502B" w:rsidRPr="006E73FA" w:rsidRDefault="00950B74" w:rsidP="00950B74">
            <w:pPr>
              <w:rPr>
                <w:sz w:val="18"/>
                <w:szCs w:val="18"/>
              </w:rPr>
            </w:pPr>
            <w:r>
              <w:rPr>
                <w:sz w:val="18"/>
                <w:szCs w:val="18"/>
              </w:rPr>
              <w:t>The CRP</w:t>
            </w:r>
            <w:r w:rsidR="0040502B">
              <w:rPr>
                <w:sz w:val="18"/>
                <w:szCs w:val="18"/>
              </w:rPr>
              <w:t xml:space="preserve"> understood this to be a short strategic write up of a large area of work.  There are very many technical, curation and other management details underlying each platform and system and institutional workflow that was not described. These are described elsewhere on lead centre and partner websites (</w:t>
            </w:r>
            <w:hyperlink r:id="rId11" w:history="1">
              <w:r w:rsidR="0040502B" w:rsidRPr="00BF2A11">
                <w:rPr>
                  <w:rStyle w:val="Hyperlink"/>
                  <w:sz w:val="18"/>
                  <w:szCs w:val="18"/>
                </w:rPr>
                <w:t>http://www.ilri.org/open</w:t>
              </w:r>
            </w:hyperlink>
            <w:r w:rsidR="0040502B">
              <w:rPr>
                <w:sz w:val="18"/>
                <w:szCs w:val="18"/>
              </w:rPr>
              <w:t xml:space="preserve"> for example).  </w:t>
            </w:r>
          </w:p>
        </w:tc>
        <w:tc>
          <w:tcPr>
            <w:tcW w:w="1421" w:type="pct"/>
          </w:tcPr>
          <w:p w14:paraId="02EC8A56" w14:textId="723E02D1" w:rsidR="0040502B" w:rsidRPr="006E73FA" w:rsidRDefault="0040502B" w:rsidP="00DB4C33">
            <w:pPr>
              <w:rPr>
                <w:sz w:val="18"/>
                <w:szCs w:val="18"/>
              </w:rPr>
            </w:pPr>
            <w:r>
              <w:rPr>
                <w:sz w:val="18"/>
                <w:szCs w:val="18"/>
              </w:rPr>
              <w:t xml:space="preserve">See annex 3.8 </w:t>
            </w:r>
            <w:r w:rsidR="00DD1CBC">
              <w:rPr>
                <w:sz w:val="18"/>
                <w:szCs w:val="18"/>
              </w:rPr>
              <w:t>page 143</w:t>
            </w:r>
          </w:p>
        </w:tc>
      </w:tr>
      <w:tr w:rsidR="0040502B" w:rsidRPr="006E73FA" w14:paraId="213BDBC8" w14:textId="77777777" w:rsidTr="0040502B">
        <w:tc>
          <w:tcPr>
            <w:tcW w:w="1289" w:type="pct"/>
          </w:tcPr>
          <w:p w14:paraId="246D5FC8" w14:textId="77777777" w:rsidR="0040502B" w:rsidRPr="006E73FA" w:rsidRDefault="0040502B" w:rsidP="00DB4C33">
            <w:pPr>
              <w:rPr>
                <w:sz w:val="18"/>
                <w:szCs w:val="18"/>
              </w:rPr>
            </w:pPr>
            <w:r w:rsidRPr="006E73FA">
              <w:rPr>
                <w:sz w:val="18"/>
                <w:szCs w:val="18"/>
              </w:rPr>
              <w:t>No itemized budget has been included, despite the guidance. Under these circumstances it is difficult to judge whether OA/OD in accordance with FAIR principles is achievable.</w:t>
            </w:r>
          </w:p>
        </w:tc>
        <w:tc>
          <w:tcPr>
            <w:tcW w:w="2290" w:type="pct"/>
          </w:tcPr>
          <w:p w14:paraId="1300428B" w14:textId="522938AD" w:rsidR="0040502B" w:rsidRDefault="00950B74" w:rsidP="00DB4C33">
            <w:pPr>
              <w:rPr>
                <w:sz w:val="18"/>
                <w:szCs w:val="18"/>
              </w:rPr>
            </w:pPr>
            <w:r>
              <w:rPr>
                <w:sz w:val="18"/>
                <w:szCs w:val="18"/>
              </w:rPr>
              <w:t xml:space="preserve">The proposal </w:t>
            </w:r>
            <w:r w:rsidR="0040502B" w:rsidRPr="008D2A40">
              <w:rPr>
                <w:sz w:val="18"/>
                <w:szCs w:val="18"/>
              </w:rPr>
              <w:t>provided an overall summary budget for IA, OA, RDM and communications across the flagships and under management. The latter version of the guidance (attached) provided suggestions for budgeting – a version of this, in spreadsheet form, was used with flagships to help them to budget adequately for OA / OD and the summary of this is presented in Annex 3.8 as per the guidance.</w:t>
            </w:r>
          </w:p>
          <w:p w14:paraId="0C057B88" w14:textId="77777777" w:rsidR="0040502B" w:rsidRPr="006E73FA" w:rsidRDefault="0040502B" w:rsidP="00DB4C33">
            <w:pPr>
              <w:rPr>
                <w:sz w:val="18"/>
                <w:szCs w:val="18"/>
              </w:rPr>
            </w:pPr>
          </w:p>
        </w:tc>
        <w:tc>
          <w:tcPr>
            <w:tcW w:w="1421" w:type="pct"/>
          </w:tcPr>
          <w:p w14:paraId="4960CA40" w14:textId="77777777" w:rsidR="0040502B" w:rsidRPr="006E73FA" w:rsidRDefault="0040502B" w:rsidP="00DB4C33">
            <w:pPr>
              <w:rPr>
                <w:sz w:val="18"/>
                <w:szCs w:val="18"/>
              </w:rPr>
            </w:pPr>
          </w:p>
        </w:tc>
      </w:tr>
    </w:tbl>
    <w:p w14:paraId="5CD6AB49" w14:textId="77777777" w:rsidR="0040502B" w:rsidRDefault="0040502B">
      <w:pPr>
        <w:rPr>
          <w:sz w:val="32"/>
          <w:szCs w:val="32"/>
        </w:rPr>
      </w:pPr>
    </w:p>
    <w:sectPr w:rsidR="0040502B" w:rsidSect="00B356A6">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EC11EF" w14:textId="77777777" w:rsidR="0055098F" w:rsidRDefault="0055098F" w:rsidP="00376966">
      <w:pPr>
        <w:spacing w:after="0" w:line="240" w:lineRule="auto"/>
      </w:pPr>
      <w:r>
        <w:separator/>
      </w:r>
    </w:p>
  </w:endnote>
  <w:endnote w:type="continuationSeparator" w:id="0">
    <w:p w14:paraId="457769BD" w14:textId="77777777" w:rsidR="0055098F" w:rsidRDefault="0055098F" w:rsidP="00376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731790"/>
      <w:docPartObj>
        <w:docPartGallery w:val="Page Numbers (Bottom of Page)"/>
        <w:docPartUnique/>
      </w:docPartObj>
    </w:sdtPr>
    <w:sdtEndPr>
      <w:rPr>
        <w:noProof/>
      </w:rPr>
    </w:sdtEndPr>
    <w:sdtContent>
      <w:p w14:paraId="13ACFD19" w14:textId="4DA34E9F" w:rsidR="002A22C8" w:rsidRDefault="002A22C8">
        <w:pPr>
          <w:pStyle w:val="Footer"/>
          <w:jc w:val="center"/>
        </w:pPr>
        <w:r>
          <w:fldChar w:fldCharType="begin"/>
        </w:r>
        <w:r>
          <w:instrText xml:space="preserve"> PAGE   \* MERGEFORMAT </w:instrText>
        </w:r>
        <w:r>
          <w:fldChar w:fldCharType="separate"/>
        </w:r>
        <w:r w:rsidR="005B0F29">
          <w:rPr>
            <w:noProof/>
          </w:rPr>
          <w:t>20</w:t>
        </w:r>
        <w:r>
          <w:rPr>
            <w:noProof/>
          </w:rPr>
          <w:fldChar w:fldCharType="end"/>
        </w:r>
      </w:p>
    </w:sdtContent>
  </w:sdt>
  <w:p w14:paraId="2E6973FC" w14:textId="77777777" w:rsidR="002A22C8" w:rsidRDefault="002A22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4FF2F" w14:textId="77777777" w:rsidR="0055098F" w:rsidRDefault="0055098F" w:rsidP="00376966">
      <w:pPr>
        <w:spacing w:after="0" w:line="240" w:lineRule="auto"/>
      </w:pPr>
      <w:r>
        <w:separator/>
      </w:r>
    </w:p>
  </w:footnote>
  <w:footnote w:type="continuationSeparator" w:id="0">
    <w:p w14:paraId="094C98AD" w14:textId="77777777" w:rsidR="0055098F" w:rsidRDefault="0055098F" w:rsidP="00376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5A2D"/>
    <w:multiLevelType w:val="hybridMultilevel"/>
    <w:tmpl w:val="F614EEA4"/>
    <w:lvl w:ilvl="0" w:tplc="CE50903E">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3460AF"/>
    <w:multiLevelType w:val="hybridMultilevel"/>
    <w:tmpl w:val="30882A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08223D"/>
    <w:multiLevelType w:val="hybridMultilevel"/>
    <w:tmpl w:val="734CCF5A"/>
    <w:lvl w:ilvl="0" w:tplc="9D705A4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D92EAF"/>
    <w:multiLevelType w:val="hybridMultilevel"/>
    <w:tmpl w:val="C1987EA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D0044"/>
    <w:multiLevelType w:val="hybridMultilevel"/>
    <w:tmpl w:val="CC1A9CB0"/>
    <w:lvl w:ilvl="0" w:tplc="9D705A4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326BB"/>
    <w:multiLevelType w:val="hybridMultilevel"/>
    <w:tmpl w:val="F96892AA"/>
    <w:lvl w:ilvl="0" w:tplc="7A3CB60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E33DDA"/>
    <w:multiLevelType w:val="hybridMultilevel"/>
    <w:tmpl w:val="8EA491F4"/>
    <w:lvl w:ilvl="0" w:tplc="9D705A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D86494"/>
    <w:multiLevelType w:val="hybridMultilevel"/>
    <w:tmpl w:val="2B2CB194"/>
    <w:lvl w:ilvl="0" w:tplc="5064773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8F56FD"/>
    <w:multiLevelType w:val="hybridMultilevel"/>
    <w:tmpl w:val="BC127CBA"/>
    <w:lvl w:ilvl="0" w:tplc="F19CABA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D561197"/>
    <w:multiLevelType w:val="hybridMultilevel"/>
    <w:tmpl w:val="0FF81F36"/>
    <w:lvl w:ilvl="0" w:tplc="B5447E7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8A62D2"/>
    <w:multiLevelType w:val="hybridMultilevel"/>
    <w:tmpl w:val="8E4A3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A54D40"/>
    <w:multiLevelType w:val="hybridMultilevel"/>
    <w:tmpl w:val="C5A6151C"/>
    <w:lvl w:ilvl="0" w:tplc="8B4C47AE">
      <w:start w:val="1"/>
      <w:numFmt w:val="decimal"/>
      <w:lvlText w:val="%1."/>
      <w:lvlJc w:val="left"/>
      <w:pPr>
        <w:ind w:left="72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1E56AF"/>
    <w:multiLevelType w:val="hybridMultilevel"/>
    <w:tmpl w:val="6A2C7712"/>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13" w15:restartNumberingAfterBreak="0">
    <w:nsid w:val="2522540B"/>
    <w:multiLevelType w:val="hybridMultilevel"/>
    <w:tmpl w:val="8C202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003137"/>
    <w:multiLevelType w:val="hybridMultilevel"/>
    <w:tmpl w:val="A3D4826C"/>
    <w:lvl w:ilvl="0" w:tplc="1EB460C2">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9E4E2A"/>
    <w:multiLevelType w:val="hybridMultilevel"/>
    <w:tmpl w:val="9DFA2A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11247DB"/>
    <w:multiLevelType w:val="hybridMultilevel"/>
    <w:tmpl w:val="9C76C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1C33644"/>
    <w:multiLevelType w:val="hybridMultilevel"/>
    <w:tmpl w:val="3E909190"/>
    <w:lvl w:ilvl="0" w:tplc="808E3E8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E43AA3"/>
    <w:multiLevelType w:val="hybridMultilevel"/>
    <w:tmpl w:val="D3726908"/>
    <w:lvl w:ilvl="0" w:tplc="23E6B618">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917667"/>
    <w:multiLevelType w:val="hybridMultilevel"/>
    <w:tmpl w:val="38F0B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B16E18"/>
    <w:multiLevelType w:val="hybridMultilevel"/>
    <w:tmpl w:val="4ACCD692"/>
    <w:lvl w:ilvl="0" w:tplc="8B4C47A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CE1414"/>
    <w:multiLevelType w:val="hybridMultilevel"/>
    <w:tmpl w:val="F6A6F1F8"/>
    <w:lvl w:ilvl="0" w:tplc="A82E8A44">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653EAC"/>
    <w:multiLevelType w:val="hybridMultilevel"/>
    <w:tmpl w:val="3C8071E2"/>
    <w:lvl w:ilvl="0" w:tplc="EE70FFF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C2286E"/>
    <w:multiLevelType w:val="hybridMultilevel"/>
    <w:tmpl w:val="9A50866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BA1380"/>
    <w:multiLevelType w:val="hybridMultilevel"/>
    <w:tmpl w:val="734E1A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FA666D"/>
    <w:multiLevelType w:val="hybridMultilevel"/>
    <w:tmpl w:val="58DEA092"/>
    <w:lvl w:ilvl="0" w:tplc="39C47E0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122EC"/>
    <w:multiLevelType w:val="hybridMultilevel"/>
    <w:tmpl w:val="ED9289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457D1081"/>
    <w:multiLevelType w:val="hybridMultilevel"/>
    <w:tmpl w:val="B6B86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C81A51"/>
    <w:multiLevelType w:val="hybridMultilevel"/>
    <w:tmpl w:val="A7C84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EA52EA"/>
    <w:multiLevelType w:val="hybridMultilevel"/>
    <w:tmpl w:val="331C3E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48110B20"/>
    <w:multiLevelType w:val="hybridMultilevel"/>
    <w:tmpl w:val="534C0236"/>
    <w:lvl w:ilvl="0" w:tplc="9D705A4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2F25F5"/>
    <w:multiLevelType w:val="hybridMultilevel"/>
    <w:tmpl w:val="D05AC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F111344"/>
    <w:multiLevelType w:val="hybridMultilevel"/>
    <w:tmpl w:val="B42EC362"/>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DF5505"/>
    <w:multiLevelType w:val="hybridMultilevel"/>
    <w:tmpl w:val="DD70A78C"/>
    <w:lvl w:ilvl="0" w:tplc="61D6CE8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FE751D"/>
    <w:multiLevelType w:val="hybridMultilevel"/>
    <w:tmpl w:val="4ED80F8C"/>
    <w:lvl w:ilvl="0" w:tplc="C7A6DB6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76005B"/>
    <w:multiLevelType w:val="hybridMultilevel"/>
    <w:tmpl w:val="BFE443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77C6C3A"/>
    <w:multiLevelType w:val="hybridMultilevel"/>
    <w:tmpl w:val="51D01C1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7E416C8"/>
    <w:multiLevelType w:val="hybridMultilevel"/>
    <w:tmpl w:val="5D9A6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9E5B79"/>
    <w:multiLevelType w:val="hybridMultilevel"/>
    <w:tmpl w:val="C8AE68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F140DE"/>
    <w:multiLevelType w:val="hybridMultilevel"/>
    <w:tmpl w:val="97B8FF5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ED06FA"/>
    <w:multiLevelType w:val="hybridMultilevel"/>
    <w:tmpl w:val="1F02DF4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B9346F"/>
    <w:multiLevelType w:val="hybridMultilevel"/>
    <w:tmpl w:val="7FA6A96A"/>
    <w:lvl w:ilvl="0" w:tplc="5A4C95C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DD308DF"/>
    <w:multiLevelType w:val="hybridMultilevel"/>
    <w:tmpl w:val="060653B6"/>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F8A5CFA"/>
    <w:multiLevelType w:val="hybridMultilevel"/>
    <w:tmpl w:val="099E6398"/>
    <w:lvl w:ilvl="0" w:tplc="BF884434">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1CE36D8"/>
    <w:multiLevelType w:val="hybridMultilevel"/>
    <w:tmpl w:val="E682980A"/>
    <w:lvl w:ilvl="0" w:tplc="5A4C95C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EE2BF4"/>
    <w:multiLevelType w:val="hybridMultilevel"/>
    <w:tmpl w:val="F7DAFA9A"/>
    <w:lvl w:ilvl="0" w:tplc="9D705A4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B7A4FFF"/>
    <w:multiLevelType w:val="hybridMultilevel"/>
    <w:tmpl w:val="3EF6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003CB8"/>
    <w:multiLevelType w:val="hybridMultilevel"/>
    <w:tmpl w:val="1E609368"/>
    <w:lvl w:ilvl="0" w:tplc="61D6CE8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D9349D7"/>
    <w:multiLevelType w:val="hybridMultilevel"/>
    <w:tmpl w:val="E31C59F4"/>
    <w:lvl w:ilvl="0" w:tplc="9D705A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4"/>
  </w:num>
  <w:num w:numId="3">
    <w:abstractNumId w:val="6"/>
  </w:num>
  <w:num w:numId="4">
    <w:abstractNumId w:val="28"/>
  </w:num>
  <w:num w:numId="5">
    <w:abstractNumId w:val="20"/>
  </w:num>
  <w:num w:numId="6">
    <w:abstractNumId w:val="2"/>
  </w:num>
  <w:num w:numId="7">
    <w:abstractNumId w:val="11"/>
  </w:num>
  <w:num w:numId="8">
    <w:abstractNumId w:val="45"/>
  </w:num>
  <w:num w:numId="9">
    <w:abstractNumId w:val="48"/>
  </w:num>
  <w:num w:numId="10">
    <w:abstractNumId w:val="34"/>
  </w:num>
  <w:num w:numId="11">
    <w:abstractNumId w:val="8"/>
  </w:num>
  <w:num w:numId="12">
    <w:abstractNumId w:val="1"/>
  </w:num>
  <w:num w:numId="13">
    <w:abstractNumId w:val="43"/>
  </w:num>
  <w:num w:numId="14">
    <w:abstractNumId w:val="32"/>
  </w:num>
  <w:num w:numId="15">
    <w:abstractNumId w:val="35"/>
  </w:num>
  <w:num w:numId="16">
    <w:abstractNumId w:val="26"/>
  </w:num>
  <w:num w:numId="17">
    <w:abstractNumId w:val="29"/>
  </w:num>
  <w:num w:numId="18">
    <w:abstractNumId w:val="24"/>
  </w:num>
  <w:num w:numId="19">
    <w:abstractNumId w:val="17"/>
  </w:num>
  <w:num w:numId="20">
    <w:abstractNumId w:val="22"/>
  </w:num>
  <w:num w:numId="21">
    <w:abstractNumId w:val="9"/>
  </w:num>
  <w:num w:numId="22">
    <w:abstractNumId w:val="31"/>
  </w:num>
  <w:num w:numId="23">
    <w:abstractNumId w:val="25"/>
  </w:num>
  <w:num w:numId="24">
    <w:abstractNumId w:val="42"/>
  </w:num>
  <w:num w:numId="25">
    <w:abstractNumId w:val="46"/>
  </w:num>
  <w:num w:numId="26">
    <w:abstractNumId w:val="37"/>
  </w:num>
  <w:num w:numId="27">
    <w:abstractNumId w:val="36"/>
  </w:num>
  <w:num w:numId="28">
    <w:abstractNumId w:val="5"/>
  </w:num>
  <w:num w:numId="29">
    <w:abstractNumId w:val="16"/>
  </w:num>
  <w:num w:numId="30">
    <w:abstractNumId w:val="15"/>
  </w:num>
  <w:num w:numId="31">
    <w:abstractNumId w:val="38"/>
  </w:num>
  <w:num w:numId="32">
    <w:abstractNumId w:val="23"/>
  </w:num>
  <w:num w:numId="33">
    <w:abstractNumId w:val="39"/>
  </w:num>
  <w:num w:numId="34">
    <w:abstractNumId w:val="19"/>
  </w:num>
  <w:num w:numId="35">
    <w:abstractNumId w:val="7"/>
  </w:num>
  <w:num w:numId="36">
    <w:abstractNumId w:val="0"/>
  </w:num>
  <w:num w:numId="37">
    <w:abstractNumId w:val="18"/>
  </w:num>
  <w:num w:numId="38">
    <w:abstractNumId w:val="14"/>
  </w:num>
  <w:num w:numId="39">
    <w:abstractNumId w:val="21"/>
  </w:num>
  <w:num w:numId="40">
    <w:abstractNumId w:val="33"/>
  </w:num>
  <w:num w:numId="41">
    <w:abstractNumId w:val="47"/>
  </w:num>
  <w:num w:numId="42">
    <w:abstractNumId w:val="30"/>
  </w:num>
  <w:num w:numId="43">
    <w:abstractNumId w:val="4"/>
  </w:num>
  <w:num w:numId="44">
    <w:abstractNumId w:val="27"/>
  </w:num>
  <w:num w:numId="45">
    <w:abstractNumId w:val="40"/>
  </w:num>
  <w:num w:numId="46">
    <w:abstractNumId w:val="12"/>
  </w:num>
  <w:num w:numId="47">
    <w:abstractNumId w:val="3"/>
  </w:num>
  <w:num w:numId="48">
    <w:abstractNumId w:val="1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A46"/>
    <w:rsid w:val="00010B87"/>
    <w:rsid w:val="00012E4F"/>
    <w:rsid w:val="000260CB"/>
    <w:rsid w:val="00041706"/>
    <w:rsid w:val="00052F52"/>
    <w:rsid w:val="000618A5"/>
    <w:rsid w:val="00064CAA"/>
    <w:rsid w:val="00065A19"/>
    <w:rsid w:val="000674F5"/>
    <w:rsid w:val="00082BD7"/>
    <w:rsid w:val="000A763D"/>
    <w:rsid w:val="000B70C9"/>
    <w:rsid w:val="000C2B63"/>
    <w:rsid w:val="000D2CEF"/>
    <w:rsid w:val="000F1200"/>
    <w:rsid w:val="000F32D0"/>
    <w:rsid w:val="0010062D"/>
    <w:rsid w:val="0010169E"/>
    <w:rsid w:val="00103209"/>
    <w:rsid w:val="00111D61"/>
    <w:rsid w:val="00144E93"/>
    <w:rsid w:val="00144F3F"/>
    <w:rsid w:val="00164CAA"/>
    <w:rsid w:val="00180195"/>
    <w:rsid w:val="00184492"/>
    <w:rsid w:val="00194FB4"/>
    <w:rsid w:val="00197020"/>
    <w:rsid w:val="001A47B3"/>
    <w:rsid w:val="001B2727"/>
    <w:rsid w:val="001B4EE5"/>
    <w:rsid w:val="001D2EEF"/>
    <w:rsid w:val="001D641A"/>
    <w:rsid w:val="001E171E"/>
    <w:rsid w:val="001F3592"/>
    <w:rsid w:val="00213ED7"/>
    <w:rsid w:val="002161AA"/>
    <w:rsid w:val="00222F50"/>
    <w:rsid w:val="00225216"/>
    <w:rsid w:val="0022600D"/>
    <w:rsid w:val="00235A32"/>
    <w:rsid w:val="002458EC"/>
    <w:rsid w:val="00247B01"/>
    <w:rsid w:val="00255208"/>
    <w:rsid w:val="00264472"/>
    <w:rsid w:val="002859F6"/>
    <w:rsid w:val="00290D76"/>
    <w:rsid w:val="00296575"/>
    <w:rsid w:val="002A22C8"/>
    <w:rsid w:val="002A2E11"/>
    <w:rsid w:val="002B2C3C"/>
    <w:rsid w:val="002C3855"/>
    <w:rsid w:val="002C5001"/>
    <w:rsid w:val="002D548D"/>
    <w:rsid w:val="002D76A8"/>
    <w:rsid w:val="002E04DF"/>
    <w:rsid w:val="002F7932"/>
    <w:rsid w:val="00301B78"/>
    <w:rsid w:val="00303679"/>
    <w:rsid w:val="00305307"/>
    <w:rsid w:val="00315B13"/>
    <w:rsid w:val="00317C37"/>
    <w:rsid w:val="00321EBE"/>
    <w:rsid w:val="003303DF"/>
    <w:rsid w:val="003308A1"/>
    <w:rsid w:val="003316B3"/>
    <w:rsid w:val="00345389"/>
    <w:rsid w:val="00351F61"/>
    <w:rsid w:val="00355161"/>
    <w:rsid w:val="00361811"/>
    <w:rsid w:val="00376966"/>
    <w:rsid w:val="003828C4"/>
    <w:rsid w:val="00386607"/>
    <w:rsid w:val="0039400D"/>
    <w:rsid w:val="0039739E"/>
    <w:rsid w:val="003B2399"/>
    <w:rsid w:val="003C3342"/>
    <w:rsid w:val="003C476E"/>
    <w:rsid w:val="003C65F1"/>
    <w:rsid w:val="003E20B7"/>
    <w:rsid w:val="003E7199"/>
    <w:rsid w:val="003F3CC2"/>
    <w:rsid w:val="0040433C"/>
    <w:rsid w:val="0040502B"/>
    <w:rsid w:val="00417019"/>
    <w:rsid w:val="004201D5"/>
    <w:rsid w:val="004228C0"/>
    <w:rsid w:val="0042440E"/>
    <w:rsid w:val="00432ECC"/>
    <w:rsid w:val="00434D81"/>
    <w:rsid w:val="00443E06"/>
    <w:rsid w:val="0045246F"/>
    <w:rsid w:val="004558D7"/>
    <w:rsid w:val="00464D98"/>
    <w:rsid w:val="0047524A"/>
    <w:rsid w:val="0048128E"/>
    <w:rsid w:val="00483419"/>
    <w:rsid w:val="00490130"/>
    <w:rsid w:val="00492854"/>
    <w:rsid w:val="004A25E9"/>
    <w:rsid w:val="004A2BE5"/>
    <w:rsid w:val="004B49E4"/>
    <w:rsid w:val="004C3FF9"/>
    <w:rsid w:val="004D34B2"/>
    <w:rsid w:val="004E3F12"/>
    <w:rsid w:val="004F6F46"/>
    <w:rsid w:val="00511C97"/>
    <w:rsid w:val="00514A00"/>
    <w:rsid w:val="00514EDC"/>
    <w:rsid w:val="00521233"/>
    <w:rsid w:val="0052312E"/>
    <w:rsid w:val="00530236"/>
    <w:rsid w:val="00532DF3"/>
    <w:rsid w:val="00537577"/>
    <w:rsid w:val="005424CB"/>
    <w:rsid w:val="0055098F"/>
    <w:rsid w:val="0055256D"/>
    <w:rsid w:val="00553B6A"/>
    <w:rsid w:val="0055574C"/>
    <w:rsid w:val="005578F1"/>
    <w:rsid w:val="00561E79"/>
    <w:rsid w:val="00562F42"/>
    <w:rsid w:val="0057192C"/>
    <w:rsid w:val="00573086"/>
    <w:rsid w:val="00576B7D"/>
    <w:rsid w:val="00582E4D"/>
    <w:rsid w:val="0059380A"/>
    <w:rsid w:val="00593E31"/>
    <w:rsid w:val="00594A70"/>
    <w:rsid w:val="005A3C56"/>
    <w:rsid w:val="005A7FE5"/>
    <w:rsid w:val="005B0F29"/>
    <w:rsid w:val="005B4BBF"/>
    <w:rsid w:val="005B72CD"/>
    <w:rsid w:val="005C179E"/>
    <w:rsid w:val="005C4513"/>
    <w:rsid w:val="005D04D6"/>
    <w:rsid w:val="005E12CF"/>
    <w:rsid w:val="005F2883"/>
    <w:rsid w:val="00604A8C"/>
    <w:rsid w:val="00606BA5"/>
    <w:rsid w:val="00612D51"/>
    <w:rsid w:val="006169A8"/>
    <w:rsid w:val="00620E74"/>
    <w:rsid w:val="0062374E"/>
    <w:rsid w:val="006426A8"/>
    <w:rsid w:val="00664AFD"/>
    <w:rsid w:val="006653D5"/>
    <w:rsid w:val="00666E32"/>
    <w:rsid w:val="006A250E"/>
    <w:rsid w:val="006A5734"/>
    <w:rsid w:val="006B1A1C"/>
    <w:rsid w:val="006C66AA"/>
    <w:rsid w:val="006E15A7"/>
    <w:rsid w:val="006E73FA"/>
    <w:rsid w:val="006F1067"/>
    <w:rsid w:val="00701040"/>
    <w:rsid w:val="00716BD3"/>
    <w:rsid w:val="007311EC"/>
    <w:rsid w:val="0074081C"/>
    <w:rsid w:val="007431C4"/>
    <w:rsid w:val="00743A83"/>
    <w:rsid w:val="00745D04"/>
    <w:rsid w:val="00747A05"/>
    <w:rsid w:val="007544FB"/>
    <w:rsid w:val="007550B1"/>
    <w:rsid w:val="00767C0C"/>
    <w:rsid w:val="00775378"/>
    <w:rsid w:val="0077659B"/>
    <w:rsid w:val="00790F87"/>
    <w:rsid w:val="007921AC"/>
    <w:rsid w:val="007A1BB2"/>
    <w:rsid w:val="007A301C"/>
    <w:rsid w:val="007C1B4D"/>
    <w:rsid w:val="007C7844"/>
    <w:rsid w:val="007D2BB1"/>
    <w:rsid w:val="00804196"/>
    <w:rsid w:val="0080437D"/>
    <w:rsid w:val="00813D64"/>
    <w:rsid w:val="008146C0"/>
    <w:rsid w:val="008326B2"/>
    <w:rsid w:val="008343D4"/>
    <w:rsid w:val="00846407"/>
    <w:rsid w:val="008514AC"/>
    <w:rsid w:val="00852261"/>
    <w:rsid w:val="00854903"/>
    <w:rsid w:val="00865B8C"/>
    <w:rsid w:val="0088034B"/>
    <w:rsid w:val="00880667"/>
    <w:rsid w:val="00882216"/>
    <w:rsid w:val="00886630"/>
    <w:rsid w:val="00895A46"/>
    <w:rsid w:val="008A4318"/>
    <w:rsid w:val="008A73FC"/>
    <w:rsid w:val="008B52C3"/>
    <w:rsid w:val="008B7329"/>
    <w:rsid w:val="008D3594"/>
    <w:rsid w:val="008E0B3E"/>
    <w:rsid w:val="008F0F89"/>
    <w:rsid w:val="008F41FB"/>
    <w:rsid w:val="00900B74"/>
    <w:rsid w:val="00900C7F"/>
    <w:rsid w:val="00903615"/>
    <w:rsid w:val="009039D6"/>
    <w:rsid w:val="009333AA"/>
    <w:rsid w:val="009378E6"/>
    <w:rsid w:val="00950B74"/>
    <w:rsid w:val="00955E99"/>
    <w:rsid w:val="00973384"/>
    <w:rsid w:val="009777C0"/>
    <w:rsid w:val="00977C0F"/>
    <w:rsid w:val="0098632B"/>
    <w:rsid w:val="00997669"/>
    <w:rsid w:val="00997C4A"/>
    <w:rsid w:val="009A2816"/>
    <w:rsid w:val="009A3389"/>
    <w:rsid w:val="009C7B2C"/>
    <w:rsid w:val="009D0E89"/>
    <w:rsid w:val="009D11CE"/>
    <w:rsid w:val="009D2344"/>
    <w:rsid w:val="009D55B7"/>
    <w:rsid w:val="009E76EF"/>
    <w:rsid w:val="00A33DE0"/>
    <w:rsid w:val="00A3550E"/>
    <w:rsid w:val="00A368AA"/>
    <w:rsid w:val="00A419CC"/>
    <w:rsid w:val="00A5018A"/>
    <w:rsid w:val="00A5479D"/>
    <w:rsid w:val="00A72CC7"/>
    <w:rsid w:val="00A7324C"/>
    <w:rsid w:val="00A76E42"/>
    <w:rsid w:val="00A825C8"/>
    <w:rsid w:val="00A84379"/>
    <w:rsid w:val="00AA2595"/>
    <w:rsid w:val="00AB2A8E"/>
    <w:rsid w:val="00AB5151"/>
    <w:rsid w:val="00AB6B03"/>
    <w:rsid w:val="00AE3DDD"/>
    <w:rsid w:val="00B12EB1"/>
    <w:rsid w:val="00B203A4"/>
    <w:rsid w:val="00B2394C"/>
    <w:rsid w:val="00B32760"/>
    <w:rsid w:val="00B356A6"/>
    <w:rsid w:val="00B35CFD"/>
    <w:rsid w:val="00B41270"/>
    <w:rsid w:val="00B448E3"/>
    <w:rsid w:val="00B655BF"/>
    <w:rsid w:val="00B901D6"/>
    <w:rsid w:val="00B9441D"/>
    <w:rsid w:val="00B965AB"/>
    <w:rsid w:val="00BA19AE"/>
    <w:rsid w:val="00BB0959"/>
    <w:rsid w:val="00BC776A"/>
    <w:rsid w:val="00BD4672"/>
    <w:rsid w:val="00BF2A11"/>
    <w:rsid w:val="00C02441"/>
    <w:rsid w:val="00C02C95"/>
    <w:rsid w:val="00C1204D"/>
    <w:rsid w:val="00C151D7"/>
    <w:rsid w:val="00C166F6"/>
    <w:rsid w:val="00C342D8"/>
    <w:rsid w:val="00C42299"/>
    <w:rsid w:val="00C44CA9"/>
    <w:rsid w:val="00C5349F"/>
    <w:rsid w:val="00C55264"/>
    <w:rsid w:val="00C56725"/>
    <w:rsid w:val="00C62E0D"/>
    <w:rsid w:val="00C658AC"/>
    <w:rsid w:val="00C67EB7"/>
    <w:rsid w:val="00C727A9"/>
    <w:rsid w:val="00C96C9C"/>
    <w:rsid w:val="00C971B0"/>
    <w:rsid w:val="00CB3491"/>
    <w:rsid w:val="00CB6393"/>
    <w:rsid w:val="00CB7A07"/>
    <w:rsid w:val="00CC032E"/>
    <w:rsid w:val="00CC1FC9"/>
    <w:rsid w:val="00CC2923"/>
    <w:rsid w:val="00CC3752"/>
    <w:rsid w:val="00CC5159"/>
    <w:rsid w:val="00CF0194"/>
    <w:rsid w:val="00CF6BDE"/>
    <w:rsid w:val="00CF79BE"/>
    <w:rsid w:val="00D14420"/>
    <w:rsid w:val="00D153F9"/>
    <w:rsid w:val="00D227DC"/>
    <w:rsid w:val="00D273DA"/>
    <w:rsid w:val="00D32600"/>
    <w:rsid w:val="00D35655"/>
    <w:rsid w:val="00D36489"/>
    <w:rsid w:val="00D46B08"/>
    <w:rsid w:val="00D56ED2"/>
    <w:rsid w:val="00D711F2"/>
    <w:rsid w:val="00D71CB2"/>
    <w:rsid w:val="00D71EBA"/>
    <w:rsid w:val="00D76B9A"/>
    <w:rsid w:val="00D778E8"/>
    <w:rsid w:val="00D921C9"/>
    <w:rsid w:val="00D968A9"/>
    <w:rsid w:val="00DB2B57"/>
    <w:rsid w:val="00DB4C33"/>
    <w:rsid w:val="00DD0FAC"/>
    <w:rsid w:val="00DD1CBC"/>
    <w:rsid w:val="00DD3259"/>
    <w:rsid w:val="00DD41C4"/>
    <w:rsid w:val="00DF605D"/>
    <w:rsid w:val="00E1695F"/>
    <w:rsid w:val="00E33F87"/>
    <w:rsid w:val="00E43500"/>
    <w:rsid w:val="00E45B63"/>
    <w:rsid w:val="00E466FD"/>
    <w:rsid w:val="00E62992"/>
    <w:rsid w:val="00E7120A"/>
    <w:rsid w:val="00E73C10"/>
    <w:rsid w:val="00E75530"/>
    <w:rsid w:val="00E757F1"/>
    <w:rsid w:val="00E84F5E"/>
    <w:rsid w:val="00E867C9"/>
    <w:rsid w:val="00E978B0"/>
    <w:rsid w:val="00EA1219"/>
    <w:rsid w:val="00EA236A"/>
    <w:rsid w:val="00EB661E"/>
    <w:rsid w:val="00EC6B33"/>
    <w:rsid w:val="00ED403F"/>
    <w:rsid w:val="00EE40FC"/>
    <w:rsid w:val="00EE780E"/>
    <w:rsid w:val="00EF1C50"/>
    <w:rsid w:val="00F03DB8"/>
    <w:rsid w:val="00F04D52"/>
    <w:rsid w:val="00F06ADD"/>
    <w:rsid w:val="00F15CD5"/>
    <w:rsid w:val="00F17CB1"/>
    <w:rsid w:val="00F35010"/>
    <w:rsid w:val="00F36123"/>
    <w:rsid w:val="00F4070F"/>
    <w:rsid w:val="00F6050C"/>
    <w:rsid w:val="00F87738"/>
    <w:rsid w:val="00FA53C7"/>
    <w:rsid w:val="00FB42EE"/>
    <w:rsid w:val="00FC5D20"/>
    <w:rsid w:val="00FC7DC0"/>
    <w:rsid w:val="00FD39B8"/>
    <w:rsid w:val="00FF0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32C7A"/>
  <w15:chartTrackingRefBased/>
  <w15:docId w15:val="{575E6AB3-9594-4369-94C3-71ACC6000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760"/>
  </w:style>
  <w:style w:type="paragraph" w:styleId="Heading1">
    <w:name w:val="heading 1"/>
    <w:basedOn w:val="Normal"/>
    <w:next w:val="Normal"/>
    <w:link w:val="Heading1Char"/>
    <w:uiPriority w:val="9"/>
    <w:qFormat/>
    <w:rsid w:val="005938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32760"/>
    <w:pPr>
      <w:spacing w:after="0" w:line="240" w:lineRule="auto"/>
      <w:jc w:val="both"/>
      <w:outlineLvl w:val="1"/>
    </w:pPr>
    <w:rPr>
      <w:rFonts w:eastAsia="Times New Roman" w:cs="Times New Roman"/>
      <w:color w:val="2E74B5" w:themeColor="accent1" w:themeShade="BF"/>
      <w:sz w:val="3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Scriptoria bullet points"/>
    <w:basedOn w:val="Normal"/>
    <w:link w:val="ListParagraphChar"/>
    <w:uiPriority w:val="34"/>
    <w:qFormat/>
    <w:rsid w:val="00790F87"/>
    <w:pPr>
      <w:ind w:left="720"/>
      <w:contextualSpacing/>
    </w:pPr>
  </w:style>
  <w:style w:type="paragraph" w:styleId="BalloonText">
    <w:name w:val="Balloon Text"/>
    <w:basedOn w:val="Normal"/>
    <w:link w:val="BalloonTextChar"/>
    <w:uiPriority w:val="99"/>
    <w:semiHidden/>
    <w:unhideWhenUsed/>
    <w:rsid w:val="00B901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1D6"/>
    <w:rPr>
      <w:rFonts w:ascii="Segoe UI" w:hAnsi="Segoe UI" w:cs="Segoe UI"/>
      <w:sz w:val="18"/>
      <w:szCs w:val="18"/>
    </w:rPr>
  </w:style>
  <w:style w:type="character" w:styleId="CommentReference">
    <w:name w:val="annotation reference"/>
    <w:basedOn w:val="DefaultParagraphFont"/>
    <w:uiPriority w:val="99"/>
    <w:semiHidden/>
    <w:unhideWhenUsed/>
    <w:rsid w:val="00562F42"/>
    <w:rPr>
      <w:sz w:val="16"/>
      <w:szCs w:val="16"/>
    </w:rPr>
  </w:style>
  <w:style w:type="paragraph" w:styleId="CommentText">
    <w:name w:val="annotation text"/>
    <w:basedOn w:val="Normal"/>
    <w:link w:val="CommentTextChar"/>
    <w:uiPriority w:val="99"/>
    <w:unhideWhenUsed/>
    <w:rsid w:val="00562F42"/>
    <w:pPr>
      <w:spacing w:line="240" w:lineRule="auto"/>
    </w:pPr>
    <w:rPr>
      <w:sz w:val="20"/>
      <w:szCs w:val="20"/>
    </w:rPr>
  </w:style>
  <w:style w:type="character" w:customStyle="1" w:styleId="CommentTextChar">
    <w:name w:val="Comment Text Char"/>
    <w:basedOn w:val="DefaultParagraphFont"/>
    <w:link w:val="CommentText"/>
    <w:uiPriority w:val="99"/>
    <w:rsid w:val="00562F42"/>
    <w:rPr>
      <w:sz w:val="20"/>
      <w:szCs w:val="20"/>
    </w:rPr>
  </w:style>
  <w:style w:type="character" w:styleId="Hyperlink">
    <w:name w:val="Hyperlink"/>
    <w:basedOn w:val="DefaultParagraphFont"/>
    <w:uiPriority w:val="99"/>
    <w:unhideWhenUsed/>
    <w:rsid w:val="00562F42"/>
    <w:rPr>
      <w:color w:val="0563C1" w:themeColor="hyperlink"/>
      <w:u w:val="single"/>
    </w:rPr>
  </w:style>
  <w:style w:type="character" w:customStyle="1" w:styleId="Heading2Char">
    <w:name w:val="Heading 2 Char"/>
    <w:basedOn w:val="DefaultParagraphFont"/>
    <w:link w:val="Heading2"/>
    <w:uiPriority w:val="9"/>
    <w:rsid w:val="00B32760"/>
    <w:rPr>
      <w:rFonts w:eastAsia="Times New Roman" w:cs="Times New Roman"/>
      <w:color w:val="2E74B5" w:themeColor="accent1" w:themeShade="BF"/>
      <w:sz w:val="30"/>
      <w:szCs w:val="28"/>
    </w:rPr>
  </w:style>
  <w:style w:type="character" w:customStyle="1" w:styleId="Heading1Char">
    <w:name w:val="Heading 1 Char"/>
    <w:basedOn w:val="DefaultParagraphFont"/>
    <w:link w:val="Heading1"/>
    <w:uiPriority w:val="9"/>
    <w:rsid w:val="005938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C6B33"/>
    <w:pPr>
      <w:outlineLvl w:val="9"/>
    </w:pPr>
    <w:rPr>
      <w:lang w:val="en-US"/>
    </w:rPr>
  </w:style>
  <w:style w:type="paragraph" w:styleId="TOC1">
    <w:name w:val="toc 1"/>
    <w:basedOn w:val="Normal"/>
    <w:next w:val="Normal"/>
    <w:autoRedefine/>
    <w:uiPriority w:val="39"/>
    <w:unhideWhenUsed/>
    <w:rsid w:val="00EC6B33"/>
    <w:pPr>
      <w:spacing w:after="100"/>
    </w:pPr>
  </w:style>
  <w:style w:type="paragraph" w:styleId="TOC2">
    <w:name w:val="toc 2"/>
    <w:basedOn w:val="Normal"/>
    <w:next w:val="Normal"/>
    <w:autoRedefine/>
    <w:uiPriority w:val="39"/>
    <w:unhideWhenUsed/>
    <w:rsid w:val="00C971B0"/>
    <w:pPr>
      <w:tabs>
        <w:tab w:val="right" w:leader="dot" w:pos="13948"/>
      </w:tabs>
      <w:spacing w:after="100"/>
      <w:ind w:left="220"/>
    </w:pPr>
  </w:style>
  <w:style w:type="character" w:customStyle="1" w:styleId="ListParagraphChar">
    <w:name w:val="List Paragraph Char"/>
    <w:aliases w:val="Bullets Char,Scriptoria bullet points Char"/>
    <w:basedOn w:val="DefaultParagraphFont"/>
    <w:link w:val="ListParagraph"/>
    <w:uiPriority w:val="34"/>
    <w:rsid w:val="00490130"/>
  </w:style>
  <w:style w:type="paragraph" w:styleId="Header">
    <w:name w:val="header"/>
    <w:basedOn w:val="Normal"/>
    <w:link w:val="HeaderChar"/>
    <w:uiPriority w:val="99"/>
    <w:unhideWhenUsed/>
    <w:rsid w:val="003769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966"/>
  </w:style>
  <w:style w:type="paragraph" w:styleId="Footer">
    <w:name w:val="footer"/>
    <w:basedOn w:val="Normal"/>
    <w:link w:val="FooterChar"/>
    <w:uiPriority w:val="99"/>
    <w:unhideWhenUsed/>
    <w:rsid w:val="003769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966"/>
  </w:style>
  <w:style w:type="paragraph" w:styleId="Revision">
    <w:name w:val="Revision"/>
    <w:hidden/>
    <w:uiPriority w:val="99"/>
    <w:semiHidden/>
    <w:rsid w:val="00594A70"/>
    <w:pPr>
      <w:spacing w:after="0" w:line="240" w:lineRule="auto"/>
    </w:pPr>
  </w:style>
  <w:style w:type="character" w:styleId="Emphasis">
    <w:name w:val="Emphasis"/>
    <w:basedOn w:val="DefaultParagraphFont"/>
    <w:uiPriority w:val="20"/>
    <w:qFormat/>
    <w:rsid w:val="00E33F87"/>
    <w:rPr>
      <w:i/>
      <w:iCs/>
    </w:rPr>
  </w:style>
  <w:style w:type="character" w:customStyle="1" w:styleId="tab-pane">
    <w:name w:val="tab-pane"/>
    <w:basedOn w:val="DefaultParagraphFont"/>
    <w:rsid w:val="00D32600"/>
  </w:style>
  <w:style w:type="paragraph" w:customStyle="1" w:styleId="ancestors">
    <w:name w:val="ancestors"/>
    <w:basedOn w:val="Normal"/>
    <w:rsid w:val="00D3260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extendcharacter">
    <w:name w:val="extend_character"/>
    <w:basedOn w:val="DefaultParagraphFont"/>
    <w:rsid w:val="00D32600"/>
  </w:style>
  <w:style w:type="character" w:styleId="FollowedHyperlink">
    <w:name w:val="FollowedHyperlink"/>
    <w:basedOn w:val="DefaultParagraphFont"/>
    <w:uiPriority w:val="99"/>
    <w:semiHidden/>
    <w:unhideWhenUsed/>
    <w:rsid w:val="00D32600"/>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41270"/>
    <w:rPr>
      <w:b/>
      <w:bCs/>
    </w:rPr>
  </w:style>
  <w:style w:type="character" w:customStyle="1" w:styleId="CommentSubjectChar">
    <w:name w:val="Comment Subject Char"/>
    <w:basedOn w:val="CommentTextChar"/>
    <w:link w:val="CommentSubject"/>
    <w:uiPriority w:val="99"/>
    <w:semiHidden/>
    <w:rsid w:val="00B41270"/>
    <w:rPr>
      <w:b/>
      <w:bCs/>
      <w:sz w:val="20"/>
      <w:szCs w:val="20"/>
    </w:rPr>
  </w:style>
  <w:style w:type="paragraph" w:customStyle="1" w:styleId="Body">
    <w:name w:val="Body"/>
    <w:basedOn w:val="Normal"/>
    <w:link w:val="BodyChar"/>
    <w:qFormat/>
    <w:rsid w:val="00977C0F"/>
    <w:pPr>
      <w:shd w:val="clear" w:color="auto" w:fill="FFFFFF"/>
      <w:spacing w:after="0" w:line="288" w:lineRule="auto"/>
      <w:jc w:val="both"/>
    </w:pPr>
    <w:rPr>
      <w:rFonts w:ascii="Georgia" w:eastAsia="Times New Roman" w:hAnsi="Georgia" w:cs="Times New Roman"/>
      <w:iCs/>
      <w:color w:val="29303B"/>
      <w:szCs w:val="21"/>
      <w:lang w:eastAsia="en-GB"/>
    </w:rPr>
  </w:style>
  <w:style w:type="character" w:customStyle="1" w:styleId="BodyChar">
    <w:name w:val="Body Char"/>
    <w:basedOn w:val="DefaultParagraphFont"/>
    <w:link w:val="Body"/>
    <w:rsid w:val="00977C0F"/>
    <w:rPr>
      <w:rFonts w:ascii="Georgia" w:eastAsia="Times New Roman" w:hAnsi="Georgia" w:cs="Times New Roman"/>
      <w:iCs/>
      <w:color w:val="29303B"/>
      <w:szCs w:val="21"/>
      <w:shd w:val="clear" w:color="auto" w:fill="FFFFF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51532">
      <w:bodyDiv w:val="1"/>
      <w:marLeft w:val="0"/>
      <w:marRight w:val="0"/>
      <w:marTop w:val="0"/>
      <w:marBottom w:val="0"/>
      <w:divBdr>
        <w:top w:val="none" w:sz="0" w:space="0" w:color="auto"/>
        <w:left w:val="none" w:sz="0" w:space="0" w:color="auto"/>
        <w:bottom w:val="none" w:sz="0" w:space="0" w:color="auto"/>
        <w:right w:val="none" w:sz="0" w:space="0" w:color="auto"/>
      </w:divBdr>
    </w:div>
    <w:div w:id="193155892">
      <w:bodyDiv w:val="1"/>
      <w:marLeft w:val="0"/>
      <w:marRight w:val="0"/>
      <w:marTop w:val="0"/>
      <w:marBottom w:val="0"/>
      <w:divBdr>
        <w:top w:val="none" w:sz="0" w:space="0" w:color="auto"/>
        <w:left w:val="none" w:sz="0" w:space="0" w:color="auto"/>
        <w:bottom w:val="none" w:sz="0" w:space="0" w:color="auto"/>
        <w:right w:val="none" w:sz="0" w:space="0" w:color="auto"/>
      </w:divBdr>
    </w:div>
    <w:div w:id="816803799">
      <w:bodyDiv w:val="1"/>
      <w:marLeft w:val="0"/>
      <w:marRight w:val="0"/>
      <w:marTop w:val="0"/>
      <w:marBottom w:val="0"/>
      <w:divBdr>
        <w:top w:val="none" w:sz="0" w:space="0" w:color="auto"/>
        <w:left w:val="none" w:sz="0" w:space="0" w:color="auto"/>
        <w:bottom w:val="none" w:sz="0" w:space="0" w:color="auto"/>
        <w:right w:val="none" w:sz="0" w:space="0" w:color="auto"/>
      </w:divBdr>
    </w:div>
    <w:div w:id="1258518358">
      <w:bodyDiv w:val="1"/>
      <w:marLeft w:val="0"/>
      <w:marRight w:val="0"/>
      <w:marTop w:val="0"/>
      <w:marBottom w:val="0"/>
      <w:divBdr>
        <w:top w:val="none" w:sz="0" w:space="0" w:color="auto"/>
        <w:left w:val="none" w:sz="0" w:space="0" w:color="auto"/>
        <w:bottom w:val="none" w:sz="0" w:space="0" w:color="auto"/>
        <w:right w:val="none" w:sz="0" w:space="0" w:color="auto"/>
      </w:divBdr>
    </w:div>
    <w:div w:id="1351491829">
      <w:bodyDiv w:val="1"/>
      <w:marLeft w:val="0"/>
      <w:marRight w:val="0"/>
      <w:marTop w:val="0"/>
      <w:marBottom w:val="0"/>
      <w:divBdr>
        <w:top w:val="none" w:sz="0" w:space="0" w:color="auto"/>
        <w:left w:val="none" w:sz="0" w:space="0" w:color="auto"/>
        <w:bottom w:val="none" w:sz="0" w:space="0" w:color="auto"/>
        <w:right w:val="none" w:sz="0" w:space="0" w:color="auto"/>
      </w:divBdr>
    </w:div>
    <w:div w:id="1369376159">
      <w:bodyDiv w:val="1"/>
      <w:marLeft w:val="0"/>
      <w:marRight w:val="0"/>
      <w:marTop w:val="0"/>
      <w:marBottom w:val="0"/>
      <w:divBdr>
        <w:top w:val="none" w:sz="0" w:space="0" w:color="auto"/>
        <w:left w:val="none" w:sz="0" w:space="0" w:color="auto"/>
        <w:bottom w:val="none" w:sz="0" w:space="0" w:color="auto"/>
        <w:right w:val="none" w:sz="0" w:space="0" w:color="auto"/>
      </w:divBdr>
      <w:divsChild>
        <w:div w:id="1843355246">
          <w:marLeft w:val="0"/>
          <w:marRight w:val="0"/>
          <w:marTop w:val="0"/>
          <w:marBottom w:val="0"/>
          <w:divBdr>
            <w:top w:val="none" w:sz="0" w:space="0" w:color="auto"/>
            <w:left w:val="none" w:sz="0" w:space="0" w:color="auto"/>
            <w:bottom w:val="none" w:sz="0" w:space="0" w:color="auto"/>
            <w:right w:val="none" w:sz="0" w:space="0" w:color="auto"/>
          </w:divBdr>
          <w:divsChild>
            <w:div w:id="145348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79421">
      <w:bodyDiv w:val="1"/>
      <w:marLeft w:val="0"/>
      <w:marRight w:val="0"/>
      <w:marTop w:val="0"/>
      <w:marBottom w:val="0"/>
      <w:divBdr>
        <w:top w:val="none" w:sz="0" w:space="0" w:color="auto"/>
        <w:left w:val="none" w:sz="0" w:space="0" w:color="auto"/>
        <w:bottom w:val="none" w:sz="0" w:space="0" w:color="auto"/>
        <w:right w:val="none" w:sz="0" w:space="0" w:color="auto"/>
      </w:divBdr>
    </w:div>
    <w:div w:id="1525709972">
      <w:bodyDiv w:val="1"/>
      <w:marLeft w:val="0"/>
      <w:marRight w:val="0"/>
      <w:marTop w:val="0"/>
      <w:marBottom w:val="0"/>
      <w:divBdr>
        <w:top w:val="none" w:sz="0" w:space="0" w:color="auto"/>
        <w:left w:val="none" w:sz="0" w:space="0" w:color="auto"/>
        <w:bottom w:val="none" w:sz="0" w:space="0" w:color="auto"/>
        <w:right w:val="none" w:sz="0" w:space="0" w:color="auto"/>
      </w:divBdr>
      <w:divsChild>
        <w:div w:id="1823623762">
          <w:marLeft w:val="0"/>
          <w:marRight w:val="0"/>
          <w:marTop w:val="0"/>
          <w:marBottom w:val="0"/>
          <w:divBdr>
            <w:top w:val="none" w:sz="0" w:space="0" w:color="auto"/>
            <w:left w:val="none" w:sz="0" w:space="0" w:color="auto"/>
            <w:bottom w:val="none" w:sz="0" w:space="0" w:color="auto"/>
            <w:right w:val="none" w:sz="0" w:space="0" w:color="auto"/>
          </w:divBdr>
        </w:div>
      </w:divsChild>
    </w:div>
    <w:div w:id="187049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lri.org/open"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heifer.org/eadd" TargetMode="External"/><Relationship Id="rId4" Type="http://schemas.openxmlformats.org/officeDocument/2006/relationships/settings" Target="settings.xml"/><Relationship Id="rId9" Type="http://schemas.openxmlformats.org/officeDocument/2006/relationships/hyperlink" Target="http://www.ilri.org/node/40417"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45EE2F81B283B4DA76825726DF86711" ma:contentTypeVersion="3" ma:contentTypeDescription="Create a new document." ma:contentTypeScope="" ma:versionID="232e88a8924d1b16c14648a4d64eedda">
  <xsd:schema xmlns:xsd="http://www.w3.org/2001/XMLSchema" xmlns:xs="http://www.w3.org/2001/XMLSchema" xmlns:p="http://schemas.microsoft.com/office/2006/metadata/properties" xmlns:ns1="http://schemas.microsoft.com/sharepoint/v3" xmlns:ns2="96cda1e5-0e99-4c39-b38a-219fe6c6b62c" targetNamespace="http://schemas.microsoft.com/office/2006/metadata/properties" ma:root="true" ma:fieldsID="b66a70cef476a0d91a3de164ce131fdb" ns1:_="" ns2:_="">
    <xsd:import namespace="http://schemas.microsoft.com/sharepoint/v3"/>
    <xsd:import namespace="96cda1e5-0e99-4c39-b38a-219fe6c6b62c"/>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cda1e5-0e99-4c39-b38a-219fe6c6b62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CCD66F-8C57-4466-BEAC-E0950B7DD44C}">
  <ds:schemaRefs>
    <ds:schemaRef ds:uri="http://schemas.openxmlformats.org/officeDocument/2006/bibliography"/>
  </ds:schemaRefs>
</ds:datastoreItem>
</file>

<file path=customXml/itemProps2.xml><?xml version="1.0" encoding="utf-8"?>
<ds:datastoreItem xmlns:ds="http://schemas.openxmlformats.org/officeDocument/2006/customXml" ds:itemID="{B217FDF2-DF04-4A3A-A477-DDAA6270B4DC}"/>
</file>

<file path=customXml/itemProps3.xml><?xml version="1.0" encoding="utf-8"?>
<ds:datastoreItem xmlns:ds="http://schemas.openxmlformats.org/officeDocument/2006/customXml" ds:itemID="{21FA51C9-82DA-45AF-B345-57AA96E16823}"/>
</file>

<file path=customXml/itemProps4.xml><?xml version="1.0" encoding="utf-8"?>
<ds:datastoreItem xmlns:ds="http://schemas.openxmlformats.org/officeDocument/2006/customXml" ds:itemID="{714DFEAC-F1B7-4133-81A3-9118F0C6099E}"/>
</file>

<file path=docProps/app.xml><?xml version="1.0" encoding="utf-8"?>
<Properties xmlns="http://schemas.openxmlformats.org/officeDocument/2006/extended-properties" xmlns:vt="http://schemas.openxmlformats.org/officeDocument/2006/docPropsVTypes">
  <Template>Normal</Template>
  <TotalTime>78</TotalTime>
  <Pages>30</Pages>
  <Words>14459</Words>
  <Characters>82418</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Tarawali, Shirley (ILRI)</dc:creator>
  <cp:keywords/>
  <dc:description/>
  <cp:lastModifiedBy>Ballantyne, Peter (ILRI)</cp:lastModifiedBy>
  <cp:revision>21</cp:revision>
  <cp:lastPrinted>2016-07-08T13:38:00Z</cp:lastPrinted>
  <dcterms:created xsi:type="dcterms:W3CDTF">2016-07-19T11:52:00Z</dcterms:created>
  <dcterms:modified xsi:type="dcterms:W3CDTF">2016-07-21T11:24:00Z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147482</vt:lpwstr>
  </property>
  <property fmtid="{D5CDD505-2E9C-101B-9397-08002B2CF9AE}" pid="3" name="NXPowerLiteSettings">
    <vt:lpwstr>F7000400038000</vt:lpwstr>
  </property>
  <property fmtid="{D5CDD505-2E9C-101B-9397-08002B2CF9AE}" pid="4" name="NXPowerLiteVersion">
    <vt:lpwstr>D6.1.2</vt:lpwstr>
  </property>
  <property fmtid="{D5CDD505-2E9C-101B-9397-08002B2CF9AE}" pid="5" name="ContentTypeId">
    <vt:lpwstr>0x010100A45EE2F81B283B4DA76825726DF86711</vt:lpwstr>
  </property>
</Properties>
</file>